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  <w:t>TRANSFERÊNCIAS REALIZADAS ATRAVÉS DE CONVÊNIO/ACORDO – 202</w:t>
      </w:r>
      <w:r>
        <w:rPr>
          <w:rFonts w:ascii="Times New Roman" w:hAnsi="Times New Roman"/>
          <w:b/>
        </w:rPr>
        <w:t>5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firstRow="1" w:noVBand="1" w:lastRow="0" w:firstColumn="1" w:lastColumn="0" w:noHBand="0" w:val="04a0"/>
      </w:tblPr>
      <w:tblGrid>
        <w:gridCol w:w="2274"/>
        <w:gridCol w:w="2598"/>
        <w:gridCol w:w="2274"/>
        <w:gridCol w:w="2275"/>
      </w:tblGrid>
      <w:tr>
        <w:trPr/>
        <w:tc>
          <w:tcPr>
            <w:tcW w:w="942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widowControl w:val="false"/>
              <w:jc w:val="center"/>
              <w:rPr>
                <w:highlight w:val="none"/>
                <w:shd w:fill="auto" w:val="clear"/>
              </w:rPr>
            </w:pPr>
            <w:bookmarkStart w:id="0" w:name="_GoBack"/>
            <w:r>
              <w:rPr>
                <w:rFonts w:ascii="Times New Roman" w:hAnsi="Times New Roman"/>
                <w:b/>
                <w:shd w:fill="auto" w:val="clear"/>
              </w:rPr>
              <w:t>CONVÊNIO/ACORDO SOB NÚMERO 00/</w:t>
            </w:r>
            <w:bookmarkEnd w:id="0"/>
            <w:r>
              <w:rPr>
                <w:rFonts w:ascii="Times New Roman" w:hAnsi="Times New Roman"/>
                <w:b/>
                <w:shd w:fill="auto" w:val="clear"/>
              </w:rPr>
              <w:t>2021</w:t>
            </w:r>
          </w:p>
        </w:tc>
      </w:tr>
      <w:tr>
        <w:trPr/>
        <w:tc>
          <w:tcPr>
            <w:tcW w:w="2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Pessoa Jurídica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Objeto</w:t>
            </w:r>
          </w:p>
        </w:tc>
        <w:tc>
          <w:tcPr>
            <w:tcW w:w="2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Mês</w:t>
            </w:r>
          </w:p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widowControl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Valor</w:t>
            </w:r>
          </w:p>
        </w:tc>
      </w:tr>
      <w:tr>
        <w:trPr/>
        <w:tc>
          <w:tcPr>
            <w:tcW w:w="22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Associação das Câmaras Municipais e dos Vereadores da Área Mineira da SUDENE</w:t>
            </w:r>
          </w:p>
        </w:tc>
        <w:tc>
          <w:tcPr>
            <w:tcW w:w="2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 xml:space="preserve">O presente Convênio tem por objeto a filiação da Câmara Municipal de Montes Claros à Associação das Câmaras Municipais e dos Vereadores da Área Mineira da Sudene – AVAMS, visando à participação em ações político-institucionais e à prestação de serviços técnicos para fortalecimento do municipalismo e defesa dos interesses institucionais. </w:t>
            </w:r>
          </w:p>
        </w:tc>
        <w:tc>
          <w:tcPr>
            <w:tcW w:w="22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Janeiro</w:t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R$ 1.000,00</w:t>
            </w:r>
          </w:p>
        </w:tc>
      </w:tr>
      <w:tr>
        <w:trPr/>
        <w:tc>
          <w:tcPr>
            <w:tcW w:w="22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Associação das Câmaras Municipais e dos Vereadores da Área Mineira da SUDENE</w:t>
            </w:r>
          </w:p>
        </w:tc>
        <w:tc>
          <w:tcPr>
            <w:tcW w:w="2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 xml:space="preserve">O presente Convênio tem por objeto a filiação da Câmara Municipal de Montes Claros à Associação das Câmaras Municipais e dos Vereadores da Área Mineira da Sudene – AVAMS, visando à participação em ações político-institucionais e à prestação de serviços técnicos para fortalecimento do municipalismo e defesa dos interesses institucionais. </w:t>
            </w:r>
          </w:p>
        </w:tc>
        <w:tc>
          <w:tcPr>
            <w:tcW w:w="22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Fevereiro</w:t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R$ 1.000,00</w:t>
            </w:r>
          </w:p>
        </w:tc>
      </w:tr>
      <w:tr>
        <w:trPr/>
        <w:tc>
          <w:tcPr>
            <w:tcW w:w="22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Associação das Câmaras Municipais e dos Vereadores da Área Mineira da SUDENE</w:t>
            </w:r>
          </w:p>
        </w:tc>
        <w:tc>
          <w:tcPr>
            <w:tcW w:w="2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 xml:space="preserve">O presente Convênio tem por objeto a filiação da Câmara Municipal de Montes Claros à Associação das Câmaras Municipais e dos Vereadores da Área Mineira da Sudene – AVAMS, visando à participação em ações político-institucionais e à prestação de serviços técnicos para fortalecimento do municipalismo e defesa dos interesses institucionais. </w:t>
            </w:r>
          </w:p>
        </w:tc>
        <w:tc>
          <w:tcPr>
            <w:tcW w:w="22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Março</w:t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R$ 1.000,00</w:t>
            </w:r>
          </w:p>
        </w:tc>
      </w:tr>
      <w:tr>
        <w:trPr/>
        <w:tc>
          <w:tcPr>
            <w:tcW w:w="22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Associação das Câmaras Municipais e dos Vereadores da Área Mineira da SUDENE</w:t>
            </w:r>
          </w:p>
        </w:tc>
        <w:tc>
          <w:tcPr>
            <w:tcW w:w="2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 xml:space="preserve">O presente Convênio tem por objeto a filiação da Câmara Municipal de Montes Claros à Associação das Câmaras Municipais e dos Vereadores da Área Mineira da Sudene – AVAMS, visando à participação em ações político-institucionais e à prestação de serviços técnicos para fortalecimento do municipalismo e defesa dos interesses institucionais. </w:t>
            </w:r>
          </w:p>
        </w:tc>
        <w:tc>
          <w:tcPr>
            <w:tcW w:w="22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Abril</w:t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R$ 1.000,00</w:t>
            </w:r>
          </w:p>
        </w:tc>
      </w:tr>
      <w:tr>
        <w:trPr/>
        <w:tc>
          <w:tcPr>
            <w:tcW w:w="22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Associação das Câmaras Municipais e dos Vereadores da Área Mineira da SUDENE</w:t>
            </w:r>
          </w:p>
        </w:tc>
        <w:tc>
          <w:tcPr>
            <w:tcW w:w="2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 xml:space="preserve">O presente Convênio tem por objeto a filiação da Câmara Municipal de Montes Claros à Associação das Câmaras Municipais e dos Vereadores da Área Mineira da Sudene – AVAMS, visando à participação em ações político-institucionais e à prestação de serviços técnicos para fortalecimento do municipalismo e defesa dos interesses institucionais. </w:t>
            </w:r>
          </w:p>
        </w:tc>
        <w:tc>
          <w:tcPr>
            <w:tcW w:w="22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Maio</w:t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R$ 1.000,00</w:t>
            </w:r>
          </w:p>
        </w:tc>
      </w:tr>
      <w:tr>
        <w:trPr/>
        <w:tc>
          <w:tcPr>
            <w:tcW w:w="22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Associação das Câmaras Municipais e dos Vereadores da Área Mineira da SUDENE</w:t>
            </w:r>
          </w:p>
        </w:tc>
        <w:tc>
          <w:tcPr>
            <w:tcW w:w="2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 xml:space="preserve">O presente Convênio tem por objeto a filiação da Câmara Municipal de Montes Claros à Associação das Câmaras Municipais e dos Vereadores da Área Mineira da Sudene – AVAMS, visando à participação em ações político-institucionais e à prestação de serviços técnicos para fortalecimento do municipalismo e defesa dos interesses institucionais. </w:t>
            </w:r>
          </w:p>
        </w:tc>
        <w:tc>
          <w:tcPr>
            <w:tcW w:w="22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Junho</w:t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R$ 1.000,00</w:t>
            </w:r>
          </w:p>
        </w:tc>
      </w:tr>
      <w:tr>
        <w:trPr/>
        <w:tc>
          <w:tcPr>
            <w:tcW w:w="22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Associação das Câmaras Municipais e dos Vereadores da Área Mineira da SUDENE</w:t>
            </w:r>
          </w:p>
        </w:tc>
        <w:tc>
          <w:tcPr>
            <w:tcW w:w="2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 xml:space="preserve">O presente Convênio tem por objeto a filiação da Câmara Municipal de Montes Claros à Associação das Câmaras Municipais e dos Vereadores da Área Mineira da Sudene – AVAMS, visando à participação em ações político-institucionais e à prestação de serviços técnicos para fortalecimento do municipalismo e defesa dos interesses institucionais. </w:t>
            </w:r>
          </w:p>
        </w:tc>
        <w:tc>
          <w:tcPr>
            <w:tcW w:w="22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Julho</w:t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R$ 1.000,00</w:t>
            </w:r>
          </w:p>
        </w:tc>
      </w:tr>
      <w:tr>
        <w:trPr/>
        <w:tc>
          <w:tcPr>
            <w:tcW w:w="22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Associação das Câmaras Municipais e dos Vereadores da Área Mineira da SUDENE</w:t>
            </w:r>
          </w:p>
        </w:tc>
        <w:tc>
          <w:tcPr>
            <w:tcW w:w="2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 xml:space="preserve">O presente Convênio tem por objeto a filiação da Câmara Municipal de Montes Claros à Associação das Câmaras Municipais e dos Vereadores da Área Mineira da Sudene – AVAMS, visando à participação em ações político-institucionais e à prestação de serviços técnicos para fortalecimento do municipalismo e defesa dos interesses institucionais. </w:t>
            </w:r>
          </w:p>
        </w:tc>
        <w:tc>
          <w:tcPr>
            <w:tcW w:w="22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Agosto</w:t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R$ 1.000,00</w:t>
            </w:r>
          </w:p>
        </w:tc>
      </w:tr>
      <w:tr>
        <w:trPr/>
        <w:tc>
          <w:tcPr>
            <w:tcW w:w="22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Associação das Câmaras Municipais e dos Vereadores da Área Mineira da SUDENE</w:t>
            </w:r>
          </w:p>
        </w:tc>
        <w:tc>
          <w:tcPr>
            <w:tcW w:w="2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 xml:space="preserve">O presente Convênio tem por objeto a filiação da Câmara Municipal de Montes Claros à Associação das Câmaras Municipais e dos Vereadores da Área Mineira da Sudene – AVAMS, visando à participação em ações político-institucionais e à prestação de serviços técnicos para fortalecimento do municipalismo e defesa dos interesses institucionais. </w:t>
            </w:r>
          </w:p>
        </w:tc>
        <w:tc>
          <w:tcPr>
            <w:tcW w:w="22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Setembro</w:t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R$ 1.000,00</w:t>
            </w:r>
          </w:p>
        </w:tc>
      </w:tr>
      <w:tr>
        <w:trPr/>
        <w:tc>
          <w:tcPr>
            <w:tcW w:w="22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Associação das Câmaras Municipais e dos Vereadores da Área Mineira da SUDENE</w:t>
            </w:r>
          </w:p>
        </w:tc>
        <w:tc>
          <w:tcPr>
            <w:tcW w:w="2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 xml:space="preserve">O presente Convênio tem por objeto a filiação da Câmara Municipal de Montes Claros à Associação das Câmaras Municipais e dos Vereadores da Área Mineira da Sudene – AVAMS, visando à participação em ações político-institucionais e à prestação de serviços técnicos para fortalecimento do municipalismo e defesa dos interesses institucionais. </w:t>
            </w:r>
          </w:p>
        </w:tc>
        <w:tc>
          <w:tcPr>
            <w:tcW w:w="22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Outubro</w:t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R$ 1.000,00</w:t>
            </w:r>
          </w:p>
        </w:tc>
      </w:tr>
      <w:tr>
        <w:trPr/>
        <w:tc>
          <w:tcPr>
            <w:tcW w:w="22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Associação das Câmaras Municipais e dos Vereadores da Área Mineira da SUDENE</w:t>
            </w:r>
          </w:p>
        </w:tc>
        <w:tc>
          <w:tcPr>
            <w:tcW w:w="2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 xml:space="preserve">O presente Convênio tem por objeto a filiação da Câmara Municipal de Montes Claros à Associação das Câmaras Municipais e dos Vereadores da Área Mineira da Sudene – AVAMS, visando à participação em ações político-institucionais e à prestação de serviços técnicos para fortalecimento do municipalismo e defesa dos interesses institucionais. </w:t>
            </w:r>
          </w:p>
        </w:tc>
        <w:tc>
          <w:tcPr>
            <w:tcW w:w="22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Novembro</w:t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R$ 1.000,00</w:t>
            </w:r>
          </w:p>
        </w:tc>
      </w:tr>
      <w:tr>
        <w:trPr/>
        <w:tc>
          <w:tcPr>
            <w:tcW w:w="22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Associação das Câmaras Municipais e dos Vereadores da Área Mineira da SUDENE</w:t>
            </w:r>
          </w:p>
        </w:tc>
        <w:tc>
          <w:tcPr>
            <w:tcW w:w="2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 xml:space="preserve">O presente Convênio tem por objeto a filiação da Câmara Municipal de Montes Claros à Associação das Câmaras Municipais e dos Vereadores da Área Mineira da Sudene – AVAMS, visando à participação em ações político-institucionais e à prestação de serviços técnicos para fortalecimento do municipalismo e defesa dos interesses institucionais. </w:t>
            </w:r>
          </w:p>
        </w:tc>
        <w:tc>
          <w:tcPr>
            <w:tcW w:w="22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Dezembro</w:t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R$ 1.000,00</w:t>
            </w:r>
          </w:p>
        </w:tc>
      </w:tr>
      <w:tr>
        <w:trPr/>
        <w:tc>
          <w:tcPr>
            <w:tcW w:w="9421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Obs: Valor total e Vigência não previstos.</w:t>
            </w:r>
          </w:p>
        </w:tc>
      </w:tr>
    </w:tbl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Câmara Municipal de Montes Claros</w:t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R. Urbino Viana, 600 - Vila Guilhermina</w:t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Montes Claros - MG, 39400-087 </w:t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CNPJ: 25.218.645/0001-26</w:t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Fone: +55 (38) 3690-5400</w:t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E-mail: @montesclaros.leg.br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242" w:right="1242" w:gutter="0" w:header="720" w:top="1192" w:footer="720" w:bottom="1192"/>
      <w:pgBorders w:display="allPages" w:offsetFrom="text">
        <w:top w:val="single" w:sz="12" w:space="1" w:color="000000"/>
        <w:left w:val="single" w:sz="12" w:space="1" w:color="000000"/>
        <w:bottom w:val="single" w:sz="12" w:space="1" w:color="000000"/>
        <w:right w:val="single" w:sz="12" w:space="1" w:color="000000"/>
      </w:pgBorders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 Narrow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rFonts w:cs="Times New Roman" w:ascii="Times New Roman" w:hAnsi="Times New Roman"/>
        <w:sz w:val="16"/>
        <w:szCs w:val="16"/>
      </w:rPr>
      <w:t>CÂMARA MUNICIPAL DE MONTES CLAROS - RUA URBINO VIANA, 600, VILA GUILHERMINA – CEP:39.400-087 – MONTES CLAROS/MG – TELEFONES: (38) 3690-5400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rFonts w:cs="Times New Roman" w:ascii="Times New Roman" w:hAnsi="Times New Roman"/>
        <w:sz w:val="16"/>
        <w:szCs w:val="16"/>
      </w:rPr>
      <w:t>CÂMARA MUNICIPAL DE MONTES CLAROS - RUA URBINO VIANA, 600, VILA GUILHERMINA – CEP:39.400-087 – MONTES CLAROS/MG – TELEFONES: (38) 3690-5400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jc w:val="center"/>
      <w:rPr/>
    </w:pPr>
    <w:r>
      <w:drawing>
        <wp:anchor behindDoc="1" distT="0" distB="0" distL="0" distR="0" simplePos="0" locked="0" layoutInCell="0" allowOverlap="1" relativeHeight="6">
          <wp:simplePos x="0" y="0"/>
          <wp:positionH relativeFrom="column">
            <wp:posOffset>74295</wp:posOffset>
          </wp:positionH>
          <wp:positionV relativeFrom="paragraph">
            <wp:posOffset>99060</wp:posOffset>
          </wp:positionV>
          <wp:extent cx="544195" cy="513080"/>
          <wp:effectExtent l="0" t="0" r="0" b="0"/>
          <wp:wrapSquare wrapText="bothSides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25" t="-451" r="-425" b="-451"/>
                  <a:stretch>
                    <a:fillRect/>
                  </a:stretch>
                </pic:blipFill>
                <pic:spPr bwMode="auto">
                  <a:xfrm>
                    <a:off x="0" y="0"/>
                    <a:ext cx="544195" cy="51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Liberation Serif;Times New Roma" w:cs="Liberation Serif;Times New Roma"/>
      </w:rPr>
      <w:t xml:space="preserve">               </w:t>
    </w:r>
    <w:r>
      <w:rPr>
        <w:rFonts w:eastAsia="Liberation Serif;Times New Roma" w:cs="Liberation Serif;Times New Roma"/>
        <w:sz w:val="28"/>
        <w:szCs w:val="28"/>
      </w:rPr>
      <w:t xml:space="preserve"> </w:t>
    </w:r>
    <w:r>
      <w:rPr>
        <w:rFonts w:eastAsia="Liberation Serif;Times New Roma" w:cs="Liberation Serif;Times New Roma"/>
        <w:b/>
        <w:bCs/>
        <w:sz w:val="28"/>
        <w:szCs w:val="28"/>
      </w:rPr>
      <w:t xml:space="preserve"> </w:t>
    </w:r>
  </w:p>
  <w:p>
    <w:pPr>
      <w:pStyle w:val="Cabealho"/>
      <w:jc w:val="center"/>
      <w:rPr>
        <w:b/>
        <w:b/>
        <w:bCs/>
        <w:sz w:val="30"/>
        <w:szCs w:val="30"/>
      </w:rPr>
    </w:pPr>
    <w:r>
      <w:rPr>
        <w:b/>
        <w:bCs/>
        <w:sz w:val="30"/>
        <w:szCs w:val="30"/>
      </w:rPr>
      <w:t xml:space="preserve">      </w:t>
    </w:r>
    <w:r>
      <w:rPr>
        <w:b/>
        <w:bCs/>
        <w:sz w:val="30"/>
        <w:szCs w:val="30"/>
      </w:rPr>
      <w:t>CÂMARA MUNICIPAL DE MONTES CLAROS – MG</w:t>
    </w:r>
  </w:p>
  <w:p>
    <w:pPr>
      <w:pStyle w:val="Cabealho"/>
      <w:jc w:val="center"/>
      <w:rPr>
        <w:b/>
        <w:b/>
        <w:bCs/>
        <w:sz w:val="20"/>
        <w:szCs w:val="20"/>
      </w:rPr>
    </w:pPr>
    <w:r>
      <w:rPr>
        <w:b/>
        <w:bCs/>
        <w:sz w:val="20"/>
        <w:szCs w:val="20"/>
      </w:rPr>
    </w:r>
  </w:p>
  <w:p>
    <w:pPr>
      <w:pStyle w:val="Cabealho"/>
      <w:jc w:val="center"/>
      <w:rPr>
        <w:b/>
        <w:b/>
        <w:bCs/>
        <w:sz w:val="20"/>
        <w:szCs w:val="20"/>
      </w:rPr>
    </w:pPr>
    <w:r>
      <w:rPr>
        <w:b/>
        <w:bCs/>
        <w:sz w:val="20"/>
        <w:szCs w:val="20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jc w:val="center"/>
      <w:rPr/>
    </w:pPr>
    <w:r>
      <w:drawing>
        <wp:anchor behindDoc="1" distT="0" distB="0" distL="0" distR="0" simplePos="0" locked="0" layoutInCell="0" allowOverlap="1" relativeHeight="6">
          <wp:simplePos x="0" y="0"/>
          <wp:positionH relativeFrom="column">
            <wp:posOffset>74295</wp:posOffset>
          </wp:positionH>
          <wp:positionV relativeFrom="paragraph">
            <wp:posOffset>99060</wp:posOffset>
          </wp:positionV>
          <wp:extent cx="544195" cy="513080"/>
          <wp:effectExtent l="0" t="0" r="0" b="0"/>
          <wp:wrapSquare wrapText="bothSides"/>
          <wp:docPr id="2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25" t="-451" r="-425" b="-451"/>
                  <a:stretch>
                    <a:fillRect/>
                  </a:stretch>
                </pic:blipFill>
                <pic:spPr bwMode="auto">
                  <a:xfrm>
                    <a:off x="0" y="0"/>
                    <a:ext cx="544195" cy="51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Liberation Serif;Times New Roma" w:cs="Liberation Serif;Times New Roma"/>
      </w:rPr>
      <w:t xml:space="preserve">               </w:t>
    </w:r>
    <w:r>
      <w:rPr>
        <w:rFonts w:eastAsia="Liberation Serif;Times New Roma" w:cs="Liberation Serif;Times New Roma"/>
        <w:sz w:val="28"/>
        <w:szCs w:val="28"/>
      </w:rPr>
      <w:t xml:space="preserve"> </w:t>
    </w:r>
    <w:r>
      <w:rPr>
        <w:rFonts w:eastAsia="Liberation Serif;Times New Roma" w:cs="Liberation Serif;Times New Roma"/>
        <w:b/>
        <w:bCs/>
        <w:sz w:val="28"/>
        <w:szCs w:val="28"/>
      </w:rPr>
      <w:t xml:space="preserve"> </w:t>
    </w:r>
  </w:p>
  <w:p>
    <w:pPr>
      <w:pStyle w:val="Cabealho"/>
      <w:jc w:val="center"/>
      <w:rPr>
        <w:b/>
        <w:b/>
        <w:bCs/>
        <w:sz w:val="30"/>
        <w:szCs w:val="30"/>
      </w:rPr>
    </w:pPr>
    <w:r>
      <w:rPr>
        <w:b/>
        <w:bCs/>
        <w:sz w:val="30"/>
        <w:szCs w:val="30"/>
      </w:rPr>
      <w:t xml:space="preserve">      </w:t>
    </w:r>
    <w:r>
      <w:rPr>
        <w:b/>
        <w:bCs/>
        <w:sz w:val="30"/>
        <w:szCs w:val="30"/>
      </w:rPr>
      <w:t>CÂMARA MUNICIPAL DE MONTES CLAROS – MG</w:t>
    </w:r>
  </w:p>
  <w:p>
    <w:pPr>
      <w:pStyle w:val="Cabealho"/>
      <w:jc w:val="center"/>
      <w:rPr>
        <w:b/>
        <w:b/>
        <w:bCs/>
        <w:sz w:val="20"/>
        <w:szCs w:val="20"/>
      </w:rPr>
    </w:pPr>
    <w:r>
      <w:rPr>
        <w:b/>
        <w:bCs/>
        <w:sz w:val="20"/>
        <w:szCs w:val="20"/>
      </w:rPr>
    </w:r>
  </w:p>
  <w:p>
    <w:pPr>
      <w:pStyle w:val="Cabealho"/>
      <w:jc w:val="center"/>
      <w:rPr>
        <w:b/>
        <w:b/>
        <w:bCs/>
        <w:sz w:val="20"/>
        <w:szCs w:val="20"/>
      </w:rPr>
    </w:pPr>
    <w:r>
      <w:rPr>
        <w:b/>
        <w:bCs/>
        <w:sz w:val="20"/>
        <w:szCs w:val="20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;Times New Roma" w:hAnsi="Liberation Serif;Times New Roma" w:eastAsia="NSimSun" w:cs="Mangal"/>
      <w:color w:val="000000"/>
      <w:kern w:val="2"/>
      <w:sz w:val="24"/>
      <w:szCs w:val="24"/>
      <w:lang w:val="pt-BR" w:eastAsia="zh-CN" w:bidi="hi-IN"/>
    </w:rPr>
  </w:style>
  <w:style w:type="paragraph" w:styleId="Ttulo2">
    <w:name w:val="Heading 2"/>
    <w:basedOn w:val="Ttulododocumento"/>
    <w:next w:val="Corpodotexto"/>
    <w:qFormat/>
    <w:pPr>
      <w:numPr>
        <w:ilvl w:val="1"/>
        <w:numId w:val="1"/>
      </w:numPr>
      <w:spacing w:before="200" w:after="0"/>
      <w:outlineLvl w:val="1"/>
    </w:pPr>
    <w:rPr>
      <w:b/>
      <w:bCs/>
      <w:sz w:val="32"/>
      <w:szCs w:val="32"/>
    </w:rPr>
  </w:style>
  <w:style w:type="paragraph" w:styleId="Ttulo3">
    <w:name w:val="Heading 3"/>
    <w:basedOn w:val="Normal"/>
    <w:next w:val="Normal"/>
    <w:qFormat/>
    <w:pPr>
      <w:keepNext w:val="true"/>
      <w:numPr>
        <w:ilvl w:val="2"/>
        <w:numId w:val="1"/>
      </w:numPr>
      <w:jc w:val="center"/>
      <w:outlineLvl w:val="2"/>
    </w:pPr>
    <w:rPr>
      <w:rFonts w:ascii="Arial Narrow" w:hAnsi="Arial Narrow" w:eastAsia="Arial Narrow" w:cs="Arial Narrow"/>
      <w:b/>
      <w:sz w:val="28"/>
    </w:rPr>
  </w:style>
  <w:style w:type="paragraph" w:styleId="Ttulo5">
    <w:name w:val="Heading 5"/>
    <w:basedOn w:val="Ttulododocumento"/>
    <w:next w:val="Corpodotexto"/>
    <w:qFormat/>
    <w:pPr>
      <w:numPr>
        <w:ilvl w:val="4"/>
        <w:numId w:val="1"/>
      </w:numPr>
      <w:spacing w:before="120" w:after="60"/>
      <w:outlineLvl w:val="4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Fontepargpadro1" w:customStyle="1">
    <w:name w:val="Fonte parág. padrão1"/>
    <w:qFormat/>
    <w:rPr/>
  </w:style>
  <w:style w:type="character" w:styleId="LinkdaInternet">
    <w:name w:val="Hyperlink"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character" w:styleId="Smbolosdenumerao" w:customStyle="1">
    <w:name w:val="Símbolos de numeração"/>
    <w:qFormat/>
    <w:rPr/>
  </w:style>
  <w:style w:type="character" w:styleId="Marcadores" w:customStyle="1">
    <w:name w:val="Marcadores"/>
    <w:qFormat/>
    <w:rPr>
      <w:rFonts w:ascii="OpenSymbol" w:hAnsi="OpenSymbol" w:eastAsia="OpenSymbol" w:cs="OpenSymbol"/>
    </w:rPr>
  </w:style>
  <w:style w:type="paragraph" w:styleId="Ttulo" w:customStyle="1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Arial"/>
    </w:rPr>
  </w:style>
  <w:style w:type="paragraph" w:styleId="Ttulododocumento">
    <w:name w:val="Title"/>
    <w:basedOn w:val="Normal"/>
    <w:next w:val="Corpodotexto"/>
    <w:qFormat/>
    <w:pPr>
      <w:keepNext w:val="true"/>
      <w:spacing w:before="240" w:after="120"/>
    </w:pPr>
    <w:rPr>
      <w:rFonts w:ascii="Liberation Sans;Arial" w:hAnsi="Liberation Sans;Arial" w:eastAsia="Microsoft YaHei" w:cs="Liberation Sans;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" w:customStyle="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</w:rPr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Normal1" w:customStyle="1">
    <w:name w:val="Normal1"/>
    <w:qFormat/>
    <w:pPr>
      <w:widowControl/>
      <w:suppressAutoHyphens w:val="true"/>
      <w:bidi w:val="0"/>
      <w:spacing w:before="0" w:after="0"/>
      <w:jc w:val="left"/>
    </w:pPr>
    <w:rPr>
      <w:rFonts w:ascii="Courier New" w:hAnsi="Courier New" w:eastAsia="Courier New" w:cs="Courier New"/>
      <w:color w:val="000000"/>
      <w:kern w:val="2"/>
      <w:sz w:val="24"/>
      <w:szCs w:val="24"/>
      <w:lang w:val="pt-BR" w:eastAsia="zh-CN" w:bidi="hi-IN"/>
    </w:rPr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i/>
      <w:iCs/>
    </w:rPr>
  </w:style>
  <w:style w:type="paragraph" w:styleId="CabealhoeRodap" w:customStyle="1">
    <w:name w:val="Cabeçalho e Rodapé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abealhoerodap1" w:customStyle="1">
    <w:name w:val="Cabeçalho e rodapé1"/>
    <w:basedOn w:val="Normal"/>
    <w:qFormat/>
    <w:pPr/>
    <w:rPr/>
  </w:style>
  <w:style w:type="paragraph" w:styleId="Cabealhoerodap2" w:customStyle="1">
    <w:name w:val="Cabeçalho e rodapé2"/>
    <w:basedOn w:val="Normal"/>
    <w:qFormat/>
    <w:pPr/>
    <w:rPr/>
  </w:style>
  <w:style w:type="paragraph" w:styleId="Cabealhoerodap3" w:customStyle="1">
    <w:name w:val="Cabeçalho e rodapé3"/>
    <w:basedOn w:val="Normal"/>
    <w:qFormat/>
    <w:pPr/>
    <w:rPr/>
  </w:style>
  <w:style w:type="paragraph" w:styleId="Cabealhoerodap4" w:customStyle="1">
    <w:name w:val="Cabeçalho e rodapé4"/>
    <w:basedOn w:val="Normal"/>
    <w:qFormat/>
    <w:pPr/>
    <w:rPr/>
  </w:style>
  <w:style w:type="paragraph" w:styleId="Cabealhoerodap5" w:customStyle="1">
    <w:name w:val="Cabeçalho e rodapé5"/>
    <w:basedOn w:val="Normal"/>
    <w:qFormat/>
    <w:pPr/>
    <w:rPr/>
  </w:style>
  <w:style w:type="paragraph" w:styleId="Cabealhoerodap6" w:customStyle="1">
    <w:name w:val="Cabeçalho e rodapé6"/>
    <w:basedOn w:val="Normal"/>
    <w:qFormat/>
    <w:pPr/>
    <w:rPr/>
  </w:style>
  <w:style w:type="paragraph" w:styleId="Cabealhoerodap7" w:customStyle="1">
    <w:name w:val="Cabeçalho e rodapé7"/>
    <w:basedOn w:val="Normal"/>
    <w:qFormat/>
    <w:pPr/>
    <w:rPr/>
  </w:style>
  <w:style w:type="paragraph" w:styleId="Cabealhoerodap8" w:customStyle="1">
    <w:name w:val="Cabeçalho e rodapé8"/>
    <w:basedOn w:val="Normal"/>
    <w:qFormat/>
    <w:pPr/>
    <w:rPr/>
  </w:style>
  <w:style w:type="paragraph" w:styleId="Cabealhoerodap9" w:customStyle="1">
    <w:name w:val="Cabeçalho e rodapé9"/>
    <w:basedOn w:val="Normal"/>
    <w:qFormat/>
    <w:pPr/>
    <w:rPr/>
  </w:style>
  <w:style w:type="paragraph" w:styleId="Cabealhoerodap10" w:customStyle="1">
    <w:name w:val="Cabeçalho e rodapé10"/>
    <w:basedOn w:val="Normal"/>
    <w:qFormat/>
    <w:pPr/>
    <w:rPr/>
  </w:style>
  <w:style w:type="paragraph" w:styleId="Cabealhoerodap11" w:customStyle="1">
    <w:name w:val="Cabeçalho e rodapé11"/>
    <w:basedOn w:val="Normal"/>
    <w:qFormat/>
    <w:pPr/>
    <w:rPr/>
  </w:style>
  <w:style w:type="paragraph" w:styleId="Cabealhoerodap12" w:customStyle="1">
    <w:name w:val="Cabeçalho e rodapé12"/>
    <w:basedOn w:val="Normal"/>
    <w:qFormat/>
    <w:pPr/>
    <w:rPr/>
  </w:style>
  <w:style w:type="paragraph" w:styleId="Cabealhoerodap13" w:customStyle="1">
    <w:name w:val="Cabeçalho e rodapé13"/>
    <w:basedOn w:val="Normal"/>
    <w:qFormat/>
    <w:pPr/>
    <w:rPr/>
  </w:style>
  <w:style w:type="paragraph" w:styleId="Cabealhoerodap14" w:customStyle="1">
    <w:name w:val="Cabeçalho e rodapé14"/>
    <w:basedOn w:val="Normal"/>
    <w:qFormat/>
    <w:pPr/>
    <w:rPr/>
  </w:style>
  <w:style w:type="paragraph" w:styleId="Cabealhoerodap15" w:customStyle="1">
    <w:name w:val="Cabeçalho e rodapé15"/>
    <w:basedOn w:val="Normal"/>
    <w:qFormat/>
    <w:pPr/>
    <w:rPr/>
  </w:style>
  <w:style w:type="paragraph" w:styleId="Cabealhoerodap16" w:customStyle="1">
    <w:name w:val="Cabeçalho e rodapé16"/>
    <w:basedOn w:val="Normal"/>
    <w:qFormat/>
    <w:pPr/>
    <w:rPr/>
  </w:style>
  <w:style w:type="paragraph" w:styleId="Cabealhoerodap17" w:customStyle="1">
    <w:name w:val="Cabeçalho e rodapé17"/>
    <w:basedOn w:val="Normal"/>
    <w:qFormat/>
    <w:pPr/>
    <w:rPr/>
  </w:style>
  <w:style w:type="paragraph" w:styleId="Cabealhoerodap18" w:customStyle="1">
    <w:name w:val="Cabeçalho e rodapé18"/>
    <w:basedOn w:val="Normal"/>
    <w:qFormat/>
    <w:pPr/>
    <w:rPr/>
  </w:style>
  <w:style w:type="paragraph" w:styleId="Cabealho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Rodap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ontedodatabela" w:customStyle="1">
    <w:name w:val="Conteúdo da tabela"/>
    <w:basedOn w:val="Normal"/>
    <w:qFormat/>
    <w:pPr>
      <w:widowControl w:val="false"/>
      <w:suppressLineNumbers/>
    </w:pPr>
    <w:rPr/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</w:pPr>
    <w:rPr>
      <w:rFonts w:ascii="Liberation Serif;Times New Roma" w:hAnsi="Liberation Serif;Times New Roma" w:eastAsia="SimSun;宋体" w:cs="Mangal"/>
      <w:color w:val="000000"/>
      <w:kern w:val="2"/>
      <w:sz w:val="24"/>
      <w:szCs w:val="24"/>
      <w:lang w:val="pt-BR" w:eastAsia="zh-CN" w:bidi="hi-IN"/>
    </w:rPr>
  </w:style>
  <w:style w:type="paragraph" w:styleId="Textbody" w:customStyle="1">
    <w:name w:val="Text body"/>
    <w:basedOn w:val="Standard"/>
    <w:qFormat/>
    <w:pPr>
      <w:spacing w:lineRule="auto" w:line="288" w:before="0" w:after="140"/>
    </w:pPr>
    <w:rPr/>
  </w:style>
  <w:style w:type="paragraph" w:styleId="LONormal1" w:customStyle="1">
    <w:name w:val="LO-Normal1"/>
    <w:qFormat/>
    <w:pPr>
      <w:widowControl/>
      <w:suppressAutoHyphens w:val="true"/>
      <w:bidi w:val="0"/>
      <w:spacing w:before="0" w:after="0"/>
      <w:jc w:val="left"/>
    </w:pPr>
    <w:rPr>
      <w:rFonts w:ascii="Courier New" w:hAnsi="Courier New" w:eastAsia="Courier New" w:cs="Courier New"/>
      <w:color w:val="000000"/>
      <w:kern w:val="2"/>
      <w:sz w:val="24"/>
      <w:szCs w:val="24"/>
      <w:lang w:val="pt-BR" w:eastAsia="zh-CN" w:bidi="hi-IN"/>
    </w:rPr>
  </w:style>
  <w:style w:type="paragraph" w:styleId="BrightBlueLTGliederung1" w:customStyle="1">
    <w:name w:val="BrightBlue_~LT~Gliederung 1"/>
    <w:qFormat/>
    <w:pPr>
      <w:widowControl w:val="false"/>
      <w:suppressAutoHyphens w:val="true"/>
      <w:bidi w:val="0"/>
      <w:spacing w:before="0" w:after="230"/>
      <w:jc w:val="left"/>
    </w:pPr>
    <w:rPr>
      <w:rFonts w:ascii="Liberation Sans;Arial" w:hAnsi="Liberation Sans;Arial" w:eastAsia="Tahoma" w:cs="Noto Sans"/>
      <w:color w:val="000000"/>
      <w:kern w:val="2"/>
      <w:sz w:val="52"/>
      <w:szCs w:val="24"/>
      <w:lang w:val="pt-BR" w:eastAsia="zh-CN" w:bidi="hi-IN"/>
    </w:rPr>
  </w:style>
  <w:style w:type="paragraph" w:styleId="Ttulodetabela" w:customStyle="1">
    <w:name w:val="Título de tabela"/>
    <w:basedOn w:val="Contedodatabela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LibreOffice/7.4.4.2$Windows_X86_64 LibreOffice_project/85569322deea74ec9134968a29af2df5663baa21</Application>
  <AppVersion>15.0000</AppVersion>
  <Pages>5</Pages>
  <Words>863</Words>
  <Characters>5053</Characters>
  <CharactersWithSpaces>5931</CharactersWithSpaces>
  <Paragraphs>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2025-10-09T19:02:00Z</dcterms:created>
  <dc:creator>INGRIDE VELOSO</dc:creator>
  <dc:description/>
  <dc:language>pt-BR</dc:language>
  <cp:lastModifiedBy/>
  <cp:lastPrinted>2025-04-29T14:23:00Z</cp:lastPrinted>
  <dcterms:modified xsi:type="dcterms:W3CDTF">2026-05-11T16:13:42Z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