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tulo1"/>
        <w:numPr>
          <w:ilvl w:val="2"/>
          <w:numId w:val="1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Ttulo1"/>
        <w:numPr>
          <w:ilvl w:val="2"/>
          <w:numId w:val="1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Ttulo1"/>
        <w:numPr>
          <w:ilvl w:val="2"/>
          <w:numId w:val="1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Ttulo1"/>
        <w:numPr>
          <w:ilvl w:val="2"/>
          <w:numId w:val="1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Ttulo1"/>
        <w:numPr>
          <w:ilvl w:val="2"/>
          <w:numId w:val="1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Ttulo1"/>
        <w:numPr>
          <w:ilvl w:val="2"/>
          <w:numId w:val="1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Ttulo1"/>
        <w:numPr>
          <w:ilvl w:val="2"/>
          <w:numId w:val="1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Ttulo1"/>
        <w:numPr>
          <w:ilvl w:val="2"/>
          <w:numId w:val="1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Ttulo1"/>
        <w:numPr>
          <w:ilvl w:val="2"/>
          <w:numId w:val="1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Ttulo1"/>
        <w:numPr>
          <w:ilvl w:val="2"/>
          <w:numId w:val="1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Ttulo1"/>
        <w:numPr>
          <w:ilvl w:val="2"/>
          <w:numId w:val="1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Ttulo1"/>
        <w:numPr>
          <w:ilvl w:val="2"/>
          <w:numId w:val="1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Ttulo1"/>
        <w:numPr>
          <w:ilvl w:val="2"/>
          <w:numId w:val="1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Ttulo1"/>
        <w:numPr>
          <w:ilvl w:val="2"/>
          <w:numId w:val="1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Ttulo1"/>
        <w:numPr>
          <w:ilvl w:val="2"/>
          <w:numId w:val="1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Ttulo1"/>
        <w:numPr>
          <w:ilvl w:val="2"/>
          <w:numId w:val="1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Ttulo1"/>
        <w:numPr>
          <w:ilvl w:val="2"/>
          <w:numId w:val="1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Ttulo1"/>
        <w:numPr>
          <w:ilvl w:val="2"/>
          <w:numId w:val="1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Ttulo1"/>
        <w:numPr>
          <w:ilvl w:val="2"/>
          <w:numId w:val="1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Ttulo1"/>
        <w:numPr>
          <w:ilvl w:val="2"/>
          <w:numId w:val="1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Ttulo1"/>
        <w:numPr>
          <w:ilvl w:val="2"/>
          <w:numId w:val="1"/>
        </w:numPr>
        <w:spacing w:lineRule="auto" w:line="240" w:before="0" w:after="0"/>
        <w:ind w:left="0" w:right="0" w:hanging="0"/>
        <w:jc w:val="center"/>
        <w:rPr>
          <w:b/>
          <w:b/>
          <w:bCs/>
        </w:rPr>
      </w:pPr>
      <w:r>
        <w:rPr>
          <w:rFonts w:ascii="Times New Roman" w:hAnsi="Times New Roman"/>
          <w:b/>
          <w:bCs/>
          <w:sz w:val="24"/>
          <w:szCs w:val="24"/>
        </w:rPr>
        <w:t>PLANO ESTRATÉGICO INSTITUCIONAL</w:t>
      </w:r>
    </w:p>
    <w:p>
      <w:pPr>
        <w:pStyle w:val="Ttulo1"/>
        <w:numPr>
          <w:ilvl w:val="2"/>
          <w:numId w:val="1"/>
        </w:numPr>
        <w:spacing w:lineRule="auto" w:line="240" w:before="0" w:after="0"/>
        <w:ind w:left="0" w:right="0" w:hanging="0"/>
        <w:jc w:val="center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EXERCÍCIO 2026</w:t>
      </w:r>
    </w:p>
    <w:p>
      <w:pPr>
        <w:pStyle w:val="Corpodotexto"/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Corpodotexto"/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Corpodotexto"/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Corpodotexto"/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Corpodotexto"/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Corpodotexto"/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Corpodotexto"/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Corpodotexto"/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Corpodotexto"/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Corpodotexto"/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Corpodotexto"/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Corpodotexto"/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Corpodotexto"/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Corpodotexto"/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Corpodotexto"/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Corpodotexto"/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Corpodotexto"/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Corpodotexto"/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Corpodotexto"/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Corpodotexto"/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Corpodotexto"/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Corpodotexto"/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Corpodotexto"/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Corpodotexto"/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Corpodotexto"/>
        <w:spacing w:lineRule="auto" w:line="240" w:before="0" w:after="0"/>
        <w:ind w:left="0" w:right="0" w:hanging="0"/>
        <w:jc w:val="center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Montes Claros/MG</w:t>
      </w:r>
    </w:p>
    <w:p>
      <w:pPr>
        <w:pStyle w:val="Corpodotexto"/>
        <w:spacing w:lineRule="auto" w:line="240" w:before="0" w:after="0"/>
        <w:ind w:left="0" w:right="0" w:hanging="0"/>
        <w:jc w:val="center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12 de maio de 2026</w:t>
      </w:r>
    </w:p>
    <w:p>
      <w:pPr>
        <w:pStyle w:val="Corpodotexto"/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Corpodotexto"/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Ttulo2"/>
        <w:numPr>
          <w:ilvl w:val="1"/>
          <w:numId w:val="1"/>
        </w:numPr>
        <w:spacing w:lineRule="auto" w:line="240" w:before="0" w:after="0"/>
        <w:ind w:left="0" w:right="0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APRESENTAÇÃO</w:t>
      </w:r>
    </w:p>
    <w:p>
      <w:pPr>
        <w:pStyle w:val="Corpodotexto"/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Corpodotexto"/>
        <w:keepNext w:val="false"/>
        <w:keepLines w:val="false"/>
        <w:pageBreakBefore w:val="false"/>
        <w:widowControl/>
        <w:suppressAutoHyphens w:val="false"/>
        <w:overflowPunct w:val="false"/>
        <w:bidi w:val="0"/>
        <w:snapToGrid w:val="true"/>
        <w:spacing w:lineRule="auto" w:line="240" w:before="0" w:after="0"/>
        <w:ind w:left="0" w:right="0" w:firstLine="1134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A Câmara Municipal de Montes Claros apresenta o Plano Estratégico Institucional para o exercício de 2026, instrumento de planejamento voltado ao fortalecimento da atuação legislativa, da fiscalização dos atos do Poder Executivo, da modernização administrativa e da ampliação da participação cidadã.</w:t>
      </w:r>
    </w:p>
    <w:p>
      <w:pPr>
        <w:pStyle w:val="Corpodotexto"/>
        <w:widowControl/>
        <w:suppressAutoHyphens w:val="false"/>
        <w:overflowPunct w:val="false"/>
        <w:bidi w:val="0"/>
        <w:snapToGrid w:val="true"/>
        <w:spacing w:lineRule="auto" w:line="240" w:before="0" w:after="0"/>
        <w:ind w:left="0" w:right="0" w:firstLine="1134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O presente documento foi elaborado com base em modelos de planejamento estratégico de Câmaras Municipais brasileiras, adaptados à realidade institucional da Câmara Municipal de Montes Claros, considerando os princípios constitucionais da legalidade, impessoalidade, moralidade, publicidade, eficiência e transparência.</w:t>
      </w:r>
    </w:p>
    <w:p>
      <w:pPr>
        <w:pStyle w:val="Corpodotexto"/>
        <w:widowControl/>
        <w:suppressAutoHyphens w:val="false"/>
        <w:overflowPunct w:val="false"/>
        <w:bidi w:val="0"/>
        <w:snapToGrid w:val="true"/>
        <w:spacing w:lineRule="auto" w:line="240" w:before="0" w:after="0"/>
        <w:ind w:left="0" w:right="0" w:firstLine="1134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O Plano Estratégico Institucional busca estabelecer diretrizes, objetivos, metas e ações prioritárias para orientar a atuação administrativa e legislativa da Câmara ao longo do exercício de 2026, promovendo maior integração entre os setores internos, aperfeiçoamento dos processos administrativos, fortalecimento do controle interno, valorização dos servidores e melhoria contínua dos serviços prestados à população.</w:t>
      </w:r>
    </w:p>
    <w:p>
      <w:pPr>
        <w:pStyle w:val="Corpodotexto"/>
        <w:widowControl/>
        <w:suppressAutoHyphens w:val="false"/>
        <w:overflowPunct w:val="false"/>
        <w:bidi w:val="0"/>
        <w:snapToGrid w:val="true"/>
        <w:spacing w:lineRule="auto" w:line="240" w:before="0" w:after="0"/>
        <w:ind w:left="0" w:right="0" w:firstLine="1134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Além disso, o planejamento estratégico visa consolidar uma cultura institucional orientada por resultados, transparência, inovação e responsabilidade pública, permitindo que as ações da Câmara sejam executadas de forma organizada, eficiente e alinhada às demandas da sociedade montes-clarense.</w:t>
      </w:r>
    </w:p>
    <w:p>
      <w:pPr>
        <w:pStyle w:val="Ttulo1"/>
        <w:numPr>
          <w:ilvl w:val="0"/>
          <w:numId w:val="0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Corpodotexto"/>
        <w:numPr>
          <w:ilvl w:val="0"/>
          <w:numId w:val="0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Ttulo1"/>
        <w:numPr>
          <w:ilvl w:val="0"/>
          <w:numId w:val="0"/>
        </w:numPr>
        <w:spacing w:lineRule="auto" w:line="240" w:before="0" w:after="0"/>
        <w:ind w:left="0" w:right="0" w:hanging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Ttulo1"/>
        <w:numPr>
          <w:ilvl w:val="0"/>
          <w:numId w:val="0"/>
        </w:numPr>
        <w:spacing w:lineRule="auto" w:line="240" w:before="0" w:after="0"/>
        <w:ind w:left="0" w:right="0" w:hanging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SUMÁRIO</w:t>
      </w:r>
    </w:p>
    <w:p>
      <w:pPr>
        <w:pStyle w:val="Ttulo1"/>
        <w:numPr>
          <w:ilvl w:val="0"/>
          <w:numId w:val="1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Ttulo1"/>
        <w:numPr>
          <w:ilvl w:val="0"/>
          <w:numId w:val="0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 VISÃO, MISSÃO E VALORES</w:t>
      </w:r>
    </w:p>
    <w:p>
      <w:pPr>
        <w:pStyle w:val="Ttulo2"/>
        <w:numPr>
          <w:ilvl w:val="1"/>
          <w:numId w:val="1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1.1 - </w:t>
      </w:r>
      <w:r>
        <w:rPr>
          <w:rFonts w:ascii="Times New Roman" w:hAnsi="Times New Roman"/>
          <w:b w:val="false"/>
          <w:bCs w:val="false"/>
          <w:sz w:val="24"/>
          <w:szCs w:val="24"/>
        </w:rPr>
        <w:t>Missão</w:t>
      </w:r>
    </w:p>
    <w:p>
      <w:pPr>
        <w:pStyle w:val="Ttulo2"/>
        <w:numPr>
          <w:ilvl w:val="0"/>
          <w:numId w:val="0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1.2 -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Visão</w:t>
      </w:r>
    </w:p>
    <w:p>
      <w:pPr>
        <w:pStyle w:val="Ttulo2"/>
        <w:numPr>
          <w:ilvl w:val="0"/>
          <w:numId w:val="0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1.3 -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Valores Institucionais</w:t>
      </w:r>
    </w:p>
    <w:p>
      <w:pPr>
        <w:pStyle w:val="Ttulo1"/>
        <w:numPr>
          <w:ilvl w:val="0"/>
          <w:numId w:val="0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 DIRETRIZES ESTRATÉGICAS</w:t>
      </w:r>
    </w:p>
    <w:p>
      <w:pPr>
        <w:pStyle w:val="Ttulo2"/>
        <w:numPr>
          <w:ilvl w:val="0"/>
          <w:numId w:val="0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2.1 - </w:t>
      </w:r>
      <w:r>
        <w:rPr>
          <w:rFonts w:ascii="Times New Roman" w:hAnsi="Times New Roman"/>
          <w:b w:val="false"/>
          <w:bCs w:val="false"/>
          <w:sz w:val="24"/>
          <w:szCs w:val="24"/>
        </w:rPr>
        <w:t>Função Legislativa</w:t>
      </w:r>
    </w:p>
    <w:p>
      <w:pPr>
        <w:pStyle w:val="Ttulo2"/>
        <w:numPr>
          <w:ilvl w:val="0"/>
          <w:numId w:val="0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2.2 - </w:t>
      </w:r>
      <w:r>
        <w:rPr>
          <w:rFonts w:ascii="Times New Roman" w:hAnsi="Times New Roman"/>
          <w:b w:val="false"/>
          <w:bCs w:val="false"/>
          <w:sz w:val="24"/>
          <w:szCs w:val="24"/>
        </w:rPr>
        <w:t>Função Fiscalizadora</w:t>
      </w:r>
    </w:p>
    <w:p>
      <w:pPr>
        <w:pStyle w:val="Ttulo2"/>
        <w:numPr>
          <w:ilvl w:val="0"/>
          <w:numId w:val="0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2.3 - </w:t>
      </w:r>
      <w:r>
        <w:rPr>
          <w:rFonts w:ascii="Times New Roman" w:hAnsi="Times New Roman"/>
          <w:b w:val="false"/>
          <w:bCs w:val="false"/>
          <w:sz w:val="24"/>
          <w:szCs w:val="24"/>
        </w:rPr>
        <w:t>Função Administrativa</w:t>
      </w:r>
    </w:p>
    <w:p>
      <w:pPr>
        <w:pStyle w:val="Ttulo2"/>
        <w:numPr>
          <w:ilvl w:val="0"/>
          <w:numId w:val="0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2.4 - </w:t>
      </w:r>
      <w:r>
        <w:rPr>
          <w:rFonts w:ascii="Times New Roman" w:hAnsi="Times New Roman"/>
          <w:b w:val="false"/>
          <w:bCs w:val="false"/>
          <w:sz w:val="24"/>
          <w:szCs w:val="24"/>
        </w:rPr>
        <w:t>Função Representativa</w:t>
      </w:r>
    </w:p>
    <w:p>
      <w:pPr>
        <w:pStyle w:val="Ttulo1"/>
        <w:numPr>
          <w:ilvl w:val="0"/>
          <w:numId w:val="0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3 - OBJETIVOS ESTRATÉGICOS</w:t>
      </w:r>
    </w:p>
    <w:p>
      <w:pPr>
        <w:pStyle w:val="Ttulo2"/>
        <w:numPr>
          <w:ilvl w:val="1"/>
          <w:numId w:val="1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3.1 -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Modernização Administrativa e Tecnológica</w:t>
      </w:r>
    </w:p>
    <w:p>
      <w:pPr>
        <w:pStyle w:val="Ttulo3"/>
        <w:numPr>
          <w:ilvl w:val="2"/>
          <w:numId w:val="1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3.1.1 - </w:t>
      </w:r>
      <w:r>
        <w:rPr>
          <w:rFonts w:ascii="Times New Roman" w:hAnsi="Times New Roman"/>
          <w:b w:val="false"/>
          <w:bCs w:val="false"/>
          <w:sz w:val="24"/>
          <w:szCs w:val="24"/>
        </w:rPr>
        <w:t>Objetivo</w:t>
      </w:r>
    </w:p>
    <w:p>
      <w:pPr>
        <w:pStyle w:val="Ttulo3"/>
        <w:numPr>
          <w:ilvl w:val="0"/>
          <w:numId w:val="0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3.1.2 - </w:t>
      </w:r>
      <w:r>
        <w:rPr>
          <w:rFonts w:ascii="Times New Roman" w:hAnsi="Times New Roman"/>
          <w:b w:val="false"/>
          <w:bCs w:val="false"/>
          <w:sz w:val="24"/>
          <w:szCs w:val="24"/>
        </w:rPr>
        <w:t>Ações Estratégicas</w:t>
      </w:r>
    </w:p>
    <w:p>
      <w:pPr>
        <w:pStyle w:val="Ttulo2"/>
        <w:numPr>
          <w:ilvl w:val="0"/>
          <w:numId w:val="0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3.2 - </w:t>
      </w:r>
      <w:r>
        <w:rPr>
          <w:rFonts w:ascii="Times New Roman" w:hAnsi="Times New Roman"/>
          <w:b w:val="false"/>
          <w:bCs w:val="false"/>
          <w:sz w:val="24"/>
          <w:szCs w:val="24"/>
        </w:rPr>
        <w:t>Transparência e Controle Institucional</w:t>
      </w:r>
    </w:p>
    <w:p>
      <w:pPr>
        <w:pStyle w:val="Ttulo3"/>
        <w:numPr>
          <w:ilvl w:val="2"/>
          <w:numId w:val="1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3.2.1 - </w:t>
      </w:r>
      <w:r>
        <w:rPr>
          <w:rFonts w:ascii="Times New Roman" w:hAnsi="Times New Roman"/>
          <w:b w:val="false"/>
          <w:bCs w:val="false"/>
          <w:sz w:val="24"/>
          <w:szCs w:val="24"/>
        </w:rPr>
        <w:t>Objetivo</w:t>
      </w:r>
    </w:p>
    <w:p>
      <w:pPr>
        <w:pStyle w:val="Ttulo3"/>
        <w:numPr>
          <w:ilvl w:val="0"/>
          <w:numId w:val="0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3.2.2 - </w:t>
      </w:r>
      <w:r>
        <w:rPr>
          <w:rFonts w:ascii="Times New Roman" w:hAnsi="Times New Roman"/>
          <w:b w:val="false"/>
          <w:bCs w:val="false"/>
          <w:sz w:val="24"/>
          <w:szCs w:val="24"/>
        </w:rPr>
        <w:t>Ações Estratégicas:</w:t>
      </w:r>
    </w:p>
    <w:p>
      <w:pPr>
        <w:pStyle w:val="Ttulo2"/>
        <w:numPr>
          <w:ilvl w:val="0"/>
          <w:numId w:val="0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3.3 - </w:t>
      </w:r>
      <w:r>
        <w:rPr>
          <w:rFonts w:ascii="Times New Roman" w:hAnsi="Times New Roman"/>
          <w:b w:val="false"/>
          <w:bCs w:val="false"/>
          <w:sz w:val="24"/>
          <w:szCs w:val="24"/>
        </w:rPr>
        <w:t>Fiscalização do Poder Executivo</w:t>
      </w:r>
    </w:p>
    <w:p>
      <w:pPr>
        <w:pStyle w:val="Ttulo3"/>
        <w:numPr>
          <w:ilvl w:val="0"/>
          <w:numId w:val="0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3.3.1 - </w:t>
      </w:r>
      <w:r>
        <w:rPr>
          <w:rFonts w:ascii="Times New Roman" w:hAnsi="Times New Roman"/>
          <w:b w:val="false"/>
          <w:bCs w:val="false"/>
          <w:sz w:val="24"/>
          <w:szCs w:val="24"/>
        </w:rPr>
        <w:t>Objetivo</w:t>
      </w:r>
    </w:p>
    <w:p>
      <w:pPr>
        <w:pStyle w:val="Ttulo3"/>
        <w:numPr>
          <w:ilvl w:val="0"/>
          <w:numId w:val="0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3.3.2 - </w:t>
      </w:r>
      <w:r>
        <w:rPr>
          <w:rFonts w:ascii="Times New Roman" w:hAnsi="Times New Roman"/>
          <w:b w:val="false"/>
          <w:bCs w:val="false"/>
          <w:sz w:val="24"/>
          <w:szCs w:val="24"/>
        </w:rPr>
        <w:t>Ações Estratégicas</w:t>
      </w:r>
    </w:p>
    <w:p>
      <w:pPr>
        <w:pStyle w:val="Ttulo2"/>
        <w:numPr>
          <w:ilvl w:val="0"/>
          <w:numId w:val="0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3.4 - </w:t>
      </w:r>
      <w:r>
        <w:rPr>
          <w:rFonts w:ascii="Times New Roman" w:hAnsi="Times New Roman"/>
          <w:b w:val="false"/>
          <w:bCs w:val="false"/>
          <w:sz w:val="24"/>
          <w:szCs w:val="24"/>
        </w:rPr>
        <w:t>Participação Popular e Comunicação Institucional</w:t>
      </w:r>
    </w:p>
    <w:p>
      <w:pPr>
        <w:pStyle w:val="Ttulo3"/>
        <w:numPr>
          <w:ilvl w:val="2"/>
          <w:numId w:val="1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3.4.1 - </w:t>
      </w:r>
      <w:r>
        <w:rPr>
          <w:rFonts w:ascii="Times New Roman" w:hAnsi="Times New Roman"/>
          <w:b w:val="false"/>
          <w:bCs w:val="false"/>
          <w:sz w:val="24"/>
          <w:szCs w:val="24"/>
        </w:rPr>
        <w:t>Objetivo</w:t>
      </w:r>
    </w:p>
    <w:p>
      <w:pPr>
        <w:pStyle w:val="Ttulo3"/>
        <w:numPr>
          <w:ilvl w:val="0"/>
          <w:numId w:val="0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3.4.2 - </w:t>
      </w:r>
      <w:r>
        <w:rPr>
          <w:rFonts w:ascii="Times New Roman" w:hAnsi="Times New Roman"/>
          <w:b w:val="false"/>
          <w:bCs w:val="false"/>
          <w:sz w:val="24"/>
          <w:szCs w:val="24"/>
        </w:rPr>
        <w:t>Ações Estratégicas</w:t>
      </w:r>
    </w:p>
    <w:p>
      <w:pPr>
        <w:pStyle w:val="Ttulo2"/>
        <w:numPr>
          <w:ilvl w:val="0"/>
          <w:numId w:val="0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3.5 - </w:t>
      </w:r>
      <w:r>
        <w:rPr>
          <w:rFonts w:ascii="Times New Roman" w:hAnsi="Times New Roman"/>
          <w:b w:val="false"/>
          <w:bCs w:val="false"/>
          <w:sz w:val="24"/>
          <w:szCs w:val="24"/>
        </w:rPr>
        <w:t>Capacitação e Valorização dos Servidores</w:t>
      </w:r>
    </w:p>
    <w:p>
      <w:pPr>
        <w:pStyle w:val="Ttulo3"/>
        <w:numPr>
          <w:ilvl w:val="2"/>
          <w:numId w:val="1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3.5.1 - </w:t>
      </w:r>
      <w:r>
        <w:rPr>
          <w:rFonts w:ascii="Times New Roman" w:hAnsi="Times New Roman"/>
          <w:b w:val="false"/>
          <w:bCs w:val="false"/>
          <w:sz w:val="24"/>
          <w:szCs w:val="24"/>
        </w:rPr>
        <w:t>Objetivo</w:t>
      </w:r>
    </w:p>
    <w:p>
      <w:pPr>
        <w:pStyle w:val="Ttulo3"/>
        <w:numPr>
          <w:ilvl w:val="0"/>
          <w:numId w:val="0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3.5.2 - </w:t>
      </w:r>
      <w:r>
        <w:rPr>
          <w:rFonts w:ascii="Times New Roman" w:hAnsi="Times New Roman"/>
          <w:b w:val="false"/>
          <w:bCs w:val="false"/>
          <w:sz w:val="24"/>
          <w:szCs w:val="24"/>
        </w:rPr>
        <w:t>Ações Estratégicas</w:t>
      </w:r>
    </w:p>
    <w:p>
      <w:pPr>
        <w:pStyle w:val="Ttulo2"/>
        <w:numPr>
          <w:ilvl w:val="0"/>
          <w:numId w:val="0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3.6 - </w:t>
      </w:r>
      <w:r>
        <w:rPr>
          <w:rFonts w:ascii="Times New Roman" w:hAnsi="Times New Roman"/>
          <w:b w:val="false"/>
          <w:bCs w:val="false"/>
          <w:sz w:val="24"/>
          <w:szCs w:val="24"/>
        </w:rPr>
        <w:t>Eficiência Administrativa e Gestão por Resultados</w:t>
      </w:r>
    </w:p>
    <w:p>
      <w:pPr>
        <w:pStyle w:val="Ttulo3"/>
        <w:numPr>
          <w:ilvl w:val="2"/>
          <w:numId w:val="1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3.6.1 - </w:t>
      </w:r>
      <w:r>
        <w:rPr>
          <w:rFonts w:ascii="Times New Roman" w:hAnsi="Times New Roman"/>
          <w:b w:val="false"/>
          <w:bCs w:val="false"/>
          <w:sz w:val="24"/>
          <w:szCs w:val="24"/>
        </w:rPr>
        <w:t>Objetivo</w:t>
      </w:r>
    </w:p>
    <w:p>
      <w:pPr>
        <w:pStyle w:val="Ttulo3"/>
        <w:numPr>
          <w:ilvl w:val="0"/>
          <w:numId w:val="0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3.6.2 - </w:t>
      </w:r>
      <w:r>
        <w:rPr>
          <w:rFonts w:ascii="Times New Roman" w:hAnsi="Times New Roman"/>
          <w:b w:val="false"/>
          <w:bCs w:val="false"/>
          <w:sz w:val="24"/>
          <w:szCs w:val="24"/>
        </w:rPr>
        <w:t>Ações Estratégicas</w:t>
      </w:r>
    </w:p>
    <w:p>
      <w:pPr>
        <w:pStyle w:val="Ttulo2"/>
        <w:numPr>
          <w:ilvl w:val="0"/>
          <w:numId w:val="0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3.7 -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Infraestrutura e Sustentabilidade</w:t>
      </w:r>
    </w:p>
    <w:p>
      <w:pPr>
        <w:pStyle w:val="Ttulo3"/>
        <w:numPr>
          <w:ilvl w:val="2"/>
          <w:numId w:val="1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3.7.1 -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Objetivo</w:t>
      </w:r>
    </w:p>
    <w:p>
      <w:pPr>
        <w:pStyle w:val="Ttulo3"/>
        <w:numPr>
          <w:ilvl w:val="0"/>
          <w:numId w:val="0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3.7.2 - </w:t>
      </w:r>
      <w:r>
        <w:rPr>
          <w:rFonts w:ascii="Times New Roman" w:hAnsi="Times New Roman"/>
          <w:b w:val="false"/>
          <w:bCs w:val="false"/>
          <w:sz w:val="24"/>
          <w:szCs w:val="24"/>
        </w:rPr>
        <w:t>Ações Estratégicas</w:t>
      </w:r>
    </w:p>
    <w:p>
      <w:pPr>
        <w:pStyle w:val="Ttulo1"/>
        <w:numPr>
          <w:ilvl w:val="0"/>
          <w:numId w:val="0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4 - EIXOS ESTRATÉGICOS</w:t>
      </w:r>
    </w:p>
    <w:p>
      <w:pPr>
        <w:pStyle w:val="Ttulo1"/>
        <w:numPr>
          <w:ilvl w:val="0"/>
          <w:numId w:val="0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5 - PLANO DE AÇÃO INSTITUCIONAL</w:t>
      </w:r>
    </w:p>
    <w:p>
      <w:pPr>
        <w:pStyle w:val="Ttulo1"/>
        <w:numPr>
          <w:ilvl w:val="0"/>
          <w:numId w:val="1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6 - INDICADORES E METAS</w:t>
      </w:r>
    </w:p>
    <w:p>
      <w:pPr>
        <w:pStyle w:val="Ttulo1"/>
        <w:numPr>
          <w:ilvl w:val="0"/>
          <w:numId w:val="1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Ttulo1"/>
        <w:numPr>
          <w:ilvl w:val="0"/>
          <w:numId w:val="1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Ttulo1"/>
        <w:numPr>
          <w:ilvl w:val="0"/>
          <w:numId w:val="1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Ttulo1"/>
        <w:numPr>
          <w:ilvl w:val="0"/>
          <w:numId w:val="1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Ttulo1"/>
        <w:numPr>
          <w:ilvl w:val="0"/>
          <w:numId w:val="1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Ttulo1"/>
        <w:numPr>
          <w:ilvl w:val="0"/>
          <w:numId w:val="1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Ttulo1"/>
        <w:numPr>
          <w:ilvl w:val="0"/>
          <w:numId w:val="1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Ttulo1"/>
        <w:numPr>
          <w:ilvl w:val="0"/>
          <w:numId w:val="1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Ttulo1"/>
        <w:numPr>
          <w:ilvl w:val="0"/>
          <w:numId w:val="1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/>
      </w:r>
    </w:p>
    <w:p>
      <w:pPr>
        <w:pStyle w:val="Ttulo1"/>
        <w:numPr>
          <w:ilvl w:val="0"/>
          <w:numId w:val="1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/>
      </w:r>
    </w:p>
    <w:p>
      <w:pPr>
        <w:pStyle w:val="Ttulo1"/>
        <w:numPr>
          <w:ilvl w:val="0"/>
          <w:numId w:val="1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/>
      </w:r>
    </w:p>
    <w:p>
      <w:pPr>
        <w:pStyle w:val="Ttulo1"/>
        <w:numPr>
          <w:ilvl w:val="0"/>
          <w:numId w:val="1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 VISÃO, MISSÃO E VALORES</w:t>
      </w:r>
    </w:p>
    <w:p>
      <w:pPr>
        <w:pStyle w:val="Ttulo2"/>
        <w:numPr>
          <w:ilvl w:val="1"/>
          <w:numId w:val="1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1.1 - </w:t>
      </w:r>
      <w:r>
        <w:rPr>
          <w:rFonts w:ascii="Times New Roman" w:hAnsi="Times New Roman"/>
          <w:b w:val="false"/>
          <w:bCs w:val="false"/>
          <w:sz w:val="24"/>
          <w:szCs w:val="24"/>
        </w:rPr>
        <w:t>Missão</w:t>
      </w:r>
    </w:p>
    <w:p>
      <w:pPr>
        <w:pStyle w:val="Corpodotexto"/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Representar a população de Montes Claros com responsabilidade, promover o debate democrático, legislar em favor do interesse público, fiscalizar os atos do Poder Executivo e garantir transparência, eficiência e participação cidadã.</w:t>
      </w:r>
    </w:p>
    <w:p>
      <w:pPr>
        <w:pStyle w:val="Ttulo2"/>
        <w:numPr>
          <w:ilvl w:val="1"/>
          <w:numId w:val="1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1.2 -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Visão</w:t>
      </w:r>
    </w:p>
    <w:p>
      <w:pPr>
        <w:pStyle w:val="Corpodotexto"/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Ser reconhecida como uma instituição legislativa moderna, transparente, eficiente e próxima da população, fortalecendo a democracia municipal por meio da inovação, da fiscalização efetiva e da excelência na gestão pública.</w:t>
      </w:r>
    </w:p>
    <w:p>
      <w:pPr>
        <w:pStyle w:val="Ttulo2"/>
        <w:numPr>
          <w:ilvl w:val="1"/>
          <w:numId w:val="1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1.3 -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Valores Institucionais</w:t>
      </w:r>
    </w:p>
    <w:p>
      <w:pPr>
        <w:pStyle w:val="Corpodotexto"/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A atuação institucional da Câmara Municipal de Montes Claros será pautada nos seguintes valores:</w:t>
      </w:r>
    </w:p>
    <w:p>
      <w:pPr>
        <w:pStyle w:val="Corpodotexto"/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I – Transparência e ética; </w:t>
      </w:r>
    </w:p>
    <w:p>
      <w:pPr>
        <w:pStyle w:val="Corpodotexto"/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II – Legalidade, impessoalidade e responsabilidade pública; </w:t>
      </w:r>
    </w:p>
    <w:p>
      <w:pPr>
        <w:pStyle w:val="Corpodotexto"/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III – Eficiência administrativa e inovação; </w:t>
      </w:r>
    </w:p>
    <w:p>
      <w:pPr>
        <w:pStyle w:val="Corpodotexto"/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IV – Participação popular e acessibilidade; </w:t>
      </w:r>
    </w:p>
    <w:p>
      <w:pPr>
        <w:pStyle w:val="Corpodotexto"/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V – Valorização dos servidores e desenvolvimento institucional; </w:t>
      </w:r>
    </w:p>
    <w:p>
      <w:pPr>
        <w:pStyle w:val="Corpodotexto"/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VI – Sustentabilidade, controle e integridade administrativa.</w:t>
      </w:r>
    </w:p>
    <w:p>
      <w:pPr>
        <w:pStyle w:val="Ttulo1"/>
        <w:numPr>
          <w:ilvl w:val="0"/>
          <w:numId w:val="1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Ttulo1"/>
        <w:numPr>
          <w:ilvl w:val="0"/>
          <w:numId w:val="1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 DIRETRIZES ESTRATÉGICAS</w:t>
      </w:r>
    </w:p>
    <w:p>
      <w:pPr>
        <w:pStyle w:val="Corpodotexto"/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As diretrizes estratégicas da Câmara Municipal de Montes Claros para o exercício de 2026 estão estruturadas nos seguintes pilares:</w:t>
      </w:r>
    </w:p>
    <w:p>
      <w:pPr>
        <w:pStyle w:val="Ttulo2"/>
        <w:numPr>
          <w:ilvl w:val="1"/>
          <w:numId w:val="1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2.1 - </w:t>
      </w:r>
      <w:r>
        <w:rPr>
          <w:rFonts w:ascii="Times New Roman" w:hAnsi="Times New Roman"/>
          <w:b w:val="false"/>
          <w:bCs w:val="false"/>
          <w:sz w:val="24"/>
          <w:szCs w:val="24"/>
        </w:rPr>
        <w:t>Função Legislativa</w:t>
      </w:r>
    </w:p>
    <w:p>
      <w:pPr>
        <w:pStyle w:val="Corpodotexto"/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I – Aprimorar a qualidade técnica das proposições legislativas, fortalecer o processo legislativo digital, ampliar a transparência das atividades parlamentares e incentivar o debate democrático e a participação popular.</w:t>
      </w:r>
    </w:p>
    <w:p>
      <w:pPr>
        <w:pStyle w:val="Ttulo2"/>
        <w:numPr>
          <w:ilvl w:val="1"/>
          <w:numId w:val="1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2.2 - </w:t>
      </w:r>
      <w:r>
        <w:rPr>
          <w:rFonts w:ascii="Times New Roman" w:hAnsi="Times New Roman"/>
          <w:b w:val="false"/>
          <w:bCs w:val="false"/>
          <w:sz w:val="24"/>
          <w:szCs w:val="24"/>
        </w:rPr>
        <w:t>Função Fiscalizadora</w:t>
      </w:r>
    </w:p>
    <w:p>
      <w:pPr>
        <w:pStyle w:val="Corpodotexto"/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I – Intensificar o acompanhamento das ações do Poder Executivo, aprimorar os mecanismos de controle e fiscalização, fortalecer a atuação das comissões permanentes e incentivar o uso dos instrumentos de fiscalização legislativa.</w:t>
      </w:r>
    </w:p>
    <w:p>
      <w:pPr>
        <w:pStyle w:val="Ttulo2"/>
        <w:numPr>
          <w:ilvl w:val="1"/>
          <w:numId w:val="1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2.3 - </w:t>
      </w:r>
      <w:r>
        <w:rPr>
          <w:rFonts w:ascii="Times New Roman" w:hAnsi="Times New Roman"/>
          <w:b w:val="false"/>
          <w:bCs w:val="false"/>
          <w:sz w:val="24"/>
          <w:szCs w:val="24"/>
        </w:rPr>
        <w:t>Função Administrativa</w:t>
      </w:r>
    </w:p>
    <w:p>
      <w:pPr>
        <w:pStyle w:val="Corpodotexto"/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I – Modernizar os processos internos, fortalecer o sistema de controle interno, implantar mecanismos de gestão por resultados e promover eficiência administrativa com racionalização de recursos.</w:t>
      </w:r>
    </w:p>
    <w:p>
      <w:pPr>
        <w:pStyle w:val="Ttulo2"/>
        <w:numPr>
          <w:ilvl w:val="1"/>
          <w:numId w:val="1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2.4 - </w:t>
      </w:r>
      <w:r>
        <w:rPr>
          <w:rFonts w:ascii="Times New Roman" w:hAnsi="Times New Roman"/>
          <w:b w:val="false"/>
          <w:bCs w:val="false"/>
          <w:sz w:val="24"/>
          <w:szCs w:val="24"/>
        </w:rPr>
        <w:t>Função Representativa</w:t>
      </w:r>
    </w:p>
    <w:p>
      <w:pPr>
        <w:pStyle w:val="Corpodotexto"/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I – Aproximar a Câmara da população, fortalecer os canais de comunicação e ouvidoria, incentivar a participação cidadã e desenvolver ações de educação legislativa.</w:t>
      </w:r>
    </w:p>
    <w:p>
      <w:pPr>
        <w:pStyle w:val="Ttulo1"/>
        <w:numPr>
          <w:ilvl w:val="0"/>
          <w:numId w:val="1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Ttulo1"/>
        <w:numPr>
          <w:ilvl w:val="0"/>
          <w:numId w:val="1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3 - OBJETIVOS ESTRATÉGICOS</w:t>
      </w:r>
    </w:p>
    <w:p>
      <w:pPr>
        <w:pStyle w:val="Ttulo2"/>
        <w:numPr>
          <w:ilvl w:val="1"/>
          <w:numId w:val="1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3.1 -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Modernização Administrativa e Tecnológica</w:t>
      </w:r>
    </w:p>
    <w:p>
      <w:pPr>
        <w:pStyle w:val="Ttulo3"/>
        <w:numPr>
          <w:ilvl w:val="2"/>
          <w:numId w:val="1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3.1.1 - </w:t>
      </w:r>
      <w:r>
        <w:rPr>
          <w:rFonts w:ascii="Times New Roman" w:hAnsi="Times New Roman"/>
          <w:b w:val="false"/>
          <w:bCs w:val="false"/>
          <w:sz w:val="24"/>
          <w:szCs w:val="24"/>
        </w:rPr>
        <w:t>Objetivo</w:t>
      </w:r>
    </w:p>
    <w:p>
      <w:pPr>
        <w:pStyle w:val="Corpodotexto"/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Promover a modernização tecnológica e digital da Câmara Municipal de Montes Claros.</w:t>
      </w:r>
    </w:p>
    <w:p>
      <w:pPr>
        <w:pStyle w:val="Ttulo3"/>
        <w:numPr>
          <w:ilvl w:val="2"/>
          <w:numId w:val="1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3.1.2 - </w:t>
      </w:r>
      <w:r>
        <w:rPr>
          <w:rFonts w:ascii="Times New Roman" w:hAnsi="Times New Roman"/>
          <w:b w:val="false"/>
          <w:bCs w:val="false"/>
          <w:sz w:val="24"/>
          <w:szCs w:val="24"/>
        </w:rPr>
        <w:t>Ações Estratégicas</w:t>
      </w:r>
    </w:p>
    <w:p>
      <w:pPr>
        <w:pStyle w:val="Corpodotexto"/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I – Ampliar a digitalização de processos administrativos e legislativos, expandir a utilização de assinaturas eletrônicas, fortalecer o protocolo eletrônico e modernizar os sistemas de gestão administrativa.</w:t>
      </w:r>
    </w:p>
    <w:p>
      <w:pPr>
        <w:pStyle w:val="Corpodotexto"/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II – Aprimorar o portal institucional, o Portal da Transparência e incentivar o uso de ferramentas de gestão eletrônica de documentos.</w:t>
      </w:r>
    </w:p>
    <w:p>
      <w:pPr>
        <w:pStyle w:val="Ttulo3"/>
        <w:numPr>
          <w:ilvl w:val="2"/>
          <w:numId w:val="1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Indicadores</w:t>
      </w:r>
    </w:p>
    <w:p>
      <w:pPr>
        <w:pStyle w:val="Corpodotexto"/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I – Percentual de processos digitais implantados; </w:t>
      </w:r>
    </w:p>
    <w:p>
      <w:pPr>
        <w:pStyle w:val="Corpodotexto"/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II – Redução do uso de papel; </w:t>
      </w:r>
    </w:p>
    <w:p>
      <w:pPr>
        <w:pStyle w:val="Corpodotexto"/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III – Tempo médio de tramitação processual; </w:t>
      </w:r>
    </w:p>
    <w:p>
      <w:pPr>
        <w:pStyle w:val="Corpodotexto"/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IV – Número de sistemas modernizados.</w:t>
      </w:r>
    </w:p>
    <w:p>
      <w:pPr>
        <w:pStyle w:val="Ttulo2"/>
        <w:numPr>
          <w:ilvl w:val="0"/>
          <w:numId w:val="0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3.2 - </w:t>
      </w:r>
      <w:r>
        <w:rPr>
          <w:rFonts w:ascii="Times New Roman" w:hAnsi="Times New Roman"/>
          <w:b w:val="false"/>
          <w:bCs w:val="false"/>
          <w:sz w:val="24"/>
          <w:szCs w:val="24"/>
        </w:rPr>
        <w:t>Transparência e Controle Institucional</w:t>
      </w:r>
    </w:p>
    <w:p>
      <w:pPr>
        <w:pStyle w:val="Ttulo3"/>
        <w:numPr>
          <w:ilvl w:val="2"/>
          <w:numId w:val="1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3.2.1 - </w:t>
      </w:r>
      <w:r>
        <w:rPr>
          <w:rFonts w:ascii="Times New Roman" w:hAnsi="Times New Roman"/>
          <w:b w:val="false"/>
          <w:bCs w:val="false"/>
          <w:sz w:val="24"/>
          <w:szCs w:val="24"/>
        </w:rPr>
        <w:t>Objetivo</w:t>
      </w:r>
    </w:p>
    <w:p>
      <w:pPr>
        <w:pStyle w:val="Corpodotexto"/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Fortalecer a transparência pública, o controle institucional e a integridade administrativa.</w:t>
      </w:r>
    </w:p>
    <w:p>
      <w:pPr>
        <w:pStyle w:val="Ttulo3"/>
        <w:numPr>
          <w:ilvl w:val="2"/>
          <w:numId w:val="1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3.2.2 - </w:t>
      </w:r>
      <w:r>
        <w:rPr>
          <w:rFonts w:ascii="Times New Roman" w:hAnsi="Times New Roman"/>
          <w:b w:val="false"/>
          <w:bCs w:val="false"/>
          <w:sz w:val="24"/>
          <w:szCs w:val="24"/>
        </w:rPr>
        <w:t>Ações Estratégicas:</w:t>
      </w:r>
    </w:p>
    <w:p>
      <w:pPr>
        <w:pStyle w:val="Corpodotexto"/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I – Atualizar continuamente o Portal da Transparência, aprimorar os mecanismos de acesso à informação e fortalecer o Sistema de Controle Interno.</w:t>
      </w:r>
    </w:p>
    <w:p>
      <w:pPr>
        <w:pStyle w:val="Corpodotexto"/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II – Elaborar relatórios periódicos de acompanhamento institucional, desenvolver mecanismos de monitoramento de riscos administrativos e incentivar práticas de governança e integridade.</w:t>
      </w:r>
    </w:p>
    <w:p>
      <w:pPr>
        <w:pStyle w:val="Ttulo3"/>
        <w:numPr>
          <w:ilvl w:val="2"/>
          <w:numId w:val="1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Indicadores</w:t>
      </w:r>
    </w:p>
    <w:p>
      <w:pPr>
        <w:pStyle w:val="Corpodotexto"/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I – Índice de atendimento às exigências de transparência; </w:t>
      </w:r>
    </w:p>
    <w:p>
      <w:pPr>
        <w:pStyle w:val="Corpodotexto"/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II – Número de relatórios emitidos; </w:t>
      </w:r>
    </w:p>
    <w:p>
      <w:pPr>
        <w:pStyle w:val="Corpodotexto"/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III – Quantidade de processos auditados; </w:t>
      </w:r>
    </w:p>
    <w:p>
      <w:pPr>
        <w:pStyle w:val="Corpodotexto"/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IV – Percentual de recomendações atendidas.</w:t>
      </w:r>
    </w:p>
    <w:p>
      <w:pPr>
        <w:pStyle w:val="Ttulo2"/>
        <w:numPr>
          <w:ilvl w:val="0"/>
          <w:numId w:val="0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3.3 - </w:t>
      </w:r>
      <w:r>
        <w:rPr>
          <w:rFonts w:ascii="Times New Roman" w:hAnsi="Times New Roman"/>
          <w:b w:val="false"/>
          <w:bCs w:val="false"/>
          <w:sz w:val="24"/>
          <w:szCs w:val="24"/>
        </w:rPr>
        <w:t>Fiscalização do Poder Executivo</w:t>
      </w:r>
    </w:p>
    <w:p>
      <w:pPr>
        <w:pStyle w:val="Ttulo3"/>
        <w:numPr>
          <w:ilvl w:val="2"/>
          <w:numId w:val="1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3.3.1 - </w:t>
      </w:r>
      <w:r>
        <w:rPr>
          <w:rFonts w:ascii="Times New Roman" w:hAnsi="Times New Roman"/>
          <w:b w:val="false"/>
          <w:bCs w:val="false"/>
          <w:sz w:val="24"/>
          <w:szCs w:val="24"/>
        </w:rPr>
        <w:t>Objetivo</w:t>
      </w:r>
    </w:p>
    <w:p>
      <w:pPr>
        <w:pStyle w:val="Corpodotexto"/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Aprimorar a atuação fiscalizadora da Câmara Municipal.</w:t>
      </w:r>
    </w:p>
    <w:p>
      <w:pPr>
        <w:pStyle w:val="Ttulo3"/>
        <w:numPr>
          <w:ilvl w:val="2"/>
          <w:numId w:val="1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3.3.2 - </w:t>
      </w:r>
      <w:r>
        <w:rPr>
          <w:rFonts w:ascii="Times New Roman" w:hAnsi="Times New Roman"/>
          <w:b w:val="false"/>
          <w:bCs w:val="false"/>
          <w:sz w:val="24"/>
          <w:szCs w:val="24"/>
        </w:rPr>
        <w:t>Ações Estratégicas</w:t>
      </w:r>
    </w:p>
    <w:p>
      <w:pPr>
        <w:pStyle w:val="Corpodotexto"/>
        <w:numPr>
          <w:ilvl w:val="0"/>
          <w:numId w:val="2"/>
        </w:numPr>
        <w:tabs>
          <w:tab w:val="clear" w:pos="708"/>
          <w:tab w:val="left" w:pos="0" w:leader="none"/>
        </w:tabs>
        <w:spacing w:lineRule="auto" w:line="240" w:before="0" w:after="0"/>
        <w:ind w:left="709" w:right="0" w:hanging="283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Intensificar a análise de prestações de contas;</w:t>
      </w:r>
    </w:p>
    <w:p>
      <w:pPr>
        <w:pStyle w:val="Corpodotexto"/>
        <w:numPr>
          <w:ilvl w:val="0"/>
          <w:numId w:val="2"/>
        </w:numPr>
        <w:tabs>
          <w:tab w:val="clear" w:pos="708"/>
          <w:tab w:val="left" w:pos="0" w:leader="none"/>
        </w:tabs>
        <w:spacing w:lineRule="auto" w:line="240" w:before="0" w:after="0"/>
        <w:ind w:left="709" w:right="0" w:hanging="283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Fortalecer o acompanhamento de contratos e licitações;</w:t>
      </w:r>
    </w:p>
    <w:p>
      <w:pPr>
        <w:pStyle w:val="Corpodotexto"/>
        <w:numPr>
          <w:ilvl w:val="0"/>
          <w:numId w:val="2"/>
        </w:numPr>
        <w:tabs>
          <w:tab w:val="clear" w:pos="708"/>
          <w:tab w:val="left" w:pos="0" w:leader="none"/>
        </w:tabs>
        <w:spacing w:lineRule="auto" w:line="240" w:before="0" w:after="0"/>
        <w:ind w:left="709" w:right="0" w:hanging="283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Incentivar a atuação das comissões permanentes;</w:t>
      </w:r>
    </w:p>
    <w:p>
      <w:pPr>
        <w:pStyle w:val="Corpodotexto"/>
        <w:numPr>
          <w:ilvl w:val="0"/>
          <w:numId w:val="2"/>
        </w:numPr>
        <w:tabs>
          <w:tab w:val="clear" w:pos="708"/>
          <w:tab w:val="left" w:pos="0" w:leader="none"/>
        </w:tabs>
        <w:spacing w:lineRule="auto" w:line="240" w:before="0" w:after="0"/>
        <w:ind w:left="709" w:right="0" w:hanging="283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Estimular requerimentos, pedidos de informação e fiscalizações parlamentares;</w:t>
      </w:r>
    </w:p>
    <w:p>
      <w:pPr>
        <w:pStyle w:val="Corpodotexto"/>
        <w:numPr>
          <w:ilvl w:val="0"/>
          <w:numId w:val="2"/>
        </w:numPr>
        <w:tabs>
          <w:tab w:val="clear" w:pos="708"/>
          <w:tab w:val="left" w:pos="0" w:leader="none"/>
        </w:tabs>
        <w:spacing w:lineRule="auto" w:line="240" w:before="0" w:after="0"/>
        <w:ind w:left="709" w:right="0" w:hanging="283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Promover capacitações sobre controle externo e fiscalização pública.</w:t>
      </w:r>
    </w:p>
    <w:p>
      <w:pPr>
        <w:pStyle w:val="Ttulo3"/>
        <w:numPr>
          <w:ilvl w:val="0"/>
          <w:numId w:val="0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Indicadores</w:t>
      </w:r>
    </w:p>
    <w:p>
      <w:pPr>
        <w:pStyle w:val="Corpodotexto"/>
        <w:numPr>
          <w:ilvl w:val="0"/>
          <w:numId w:val="3"/>
        </w:numPr>
        <w:tabs>
          <w:tab w:val="clear" w:pos="708"/>
          <w:tab w:val="left" w:pos="0" w:leader="none"/>
        </w:tabs>
        <w:spacing w:lineRule="auto" w:line="240" w:before="0" w:after="0"/>
        <w:ind w:left="709" w:right="0" w:hanging="283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Número de requerimentos apresentados;</w:t>
      </w:r>
    </w:p>
    <w:p>
      <w:pPr>
        <w:pStyle w:val="Corpodotexto"/>
        <w:numPr>
          <w:ilvl w:val="0"/>
          <w:numId w:val="3"/>
        </w:numPr>
        <w:tabs>
          <w:tab w:val="clear" w:pos="708"/>
          <w:tab w:val="left" w:pos="0" w:leader="none"/>
        </w:tabs>
        <w:spacing w:lineRule="auto" w:line="240" w:before="0" w:after="0"/>
        <w:ind w:left="709" w:right="0" w:hanging="283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Quantidade de fiscalizações realizadas;</w:t>
      </w:r>
    </w:p>
    <w:p>
      <w:pPr>
        <w:pStyle w:val="Corpodotexto"/>
        <w:numPr>
          <w:ilvl w:val="0"/>
          <w:numId w:val="3"/>
        </w:numPr>
        <w:tabs>
          <w:tab w:val="clear" w:pos="708"/>
          <w:tab w:val="left" w:pos="0" w:leader="none"/>
        </w:tabs>
        <w:spacing w:lineRule="auto" w:line="240" w:before="0" w:after="0"/>
        <w:ind w:left="709" w:right="0" w:hanging="283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Número de relatórios elaborados;</w:t>
      </w:r>
    </w:p>
    <w:p>
      <w:pPr>
        <w:pStyle w:val="Corpodotexto"/>
        <w:numPr>
          <w:ilvl w:val="0"/>
          <w:numId w:val="3"/>
        </w:numPr>
        <w:tabs>
          <w:tab w:val="clear" w:pos="708"/>
          <w:tab w:val="left" w:pos="0" w:leader="none"/>
        </w:tabs>
        <w:spacing w:lineRule="auto" w:line="240" w:before="0" w:after="0"/>
        <w:ind w:left="709" w:right="0" w:hanging="283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Quantidade de recomendações emitidas.</w:t>
      </w:r>
    </w:p>
    <w:p>
      <w:pPr>
        <w:pStyle w:val="Ttulo2"/>
        <w:numPr>
          <w:ilvl w:val="1"/>
          <w:numId w:val="1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3.4 - </w:t>
      </w:r>
      <w:r>
        <w:rPr>
          <w:rFonts w:ascii="Times New Roman" w:hAnsi="Times New Roman"/>
          <w:b w:val="false"/>
          <w:bCs w:val="false"/>
          <w:sz w:val="24"/>
          <w:szCs w:val="24"/>
        </w:rPr>
        <w:t>Participação Popular e Comunicação Institucional</w:t>
      </w:r>
    </w:p>
    <w:p>
      <w:pPr>
        <w:pStyle w:val="Ttulo3"/>
        <w:numPr>
          <w:ilvl w:val="2"/>
          <w:numId w:val="1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3.4.1 - </w:t>
      </w:r>
      <w:r>
        <w:rPr>
          <w:rFonts w:ascii="Times New Roman" w:hAnsi="Times New Roman"/>
          <w:b w:val="false"/>
          <w:bCs w:val="false"/>
          <w:sz w:val="24"/>
          <w:szCs w:val="24"/>
        </w:rPr>
        <w:t>Objetivo</w:t>
      </w:r>
    </w:p>
    <w:p>
      <w:pPr>
        <w:pStyle w:val="Corpodotexto"/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Fortalecer o relacionamento entre a Câmara Municipal e a sociedade.</w:t>
      </w:r>
    </w:p>
    <w:p>
      <w:pPr>
        <w:pStyle w:val="Ttulo3"/>
        <w:numPr>
          <w:ilvl w:val="2"/>
          <w:numId w:val="1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3.4.2 - </w:t>
      </w:r>
      <w:r>
        <w:rPr>
          <w:rFonts w:ascii="Times New Roman" w:hAnsi="Times New Roman"/>
          <w:b w:val="false"/>
          <w:bCs w:val="false"/>
          <w:sz w:val="24"/>
          <w:szCs w:val="24"/>
        </w:rPr>
        <w:t>Ações Estratégicas</w:t>
      </w:r>
    </w:p>
    <w:p>
      <w:pPr>
        <w:pStyle w:val="Corpodotexto"/>
        <w:numPr>
          <w:ilvl w:val="0"/>
          <w:numId w:val="4"/>
        </w:numPr>
        <w:tabs>
          <w:tab w:val="clear" w:pos="708"/>
          <w:tab w:val="left" w:pos="0" w:leader="none"/>
        </w:tabs>
        <w:spacing w:lineRule="auto" w:line="240" w:before="0" w:after="0"/>
        <w:ind w:left="709" w:right="0" w:hanging="283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Expandir os canais de comunicação institucional;</w:t>
      </w:r>
    </w:p>
    <w:p>
      <w:pPr>
        <w:pStyle w:val="Corpodotexto"/>
        <w:numPr>
          <w:ilvl w:val="0"/>
          <w:numId w:val="4"/>
        </w:numPr>
        <w:tabs>
          <w:tab w:val="clear" w:pos="708"/>
          <w:tab w:val="left" w:pos="0" w:leader="none"/>
        </w:tabs>
        <w:spacing w:lineRule="auto" w:line="240" w:before="0" w:after="0"/>
        <w:ind w:left="709" w:right="0" w:hanging="283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Fortalecer a Ouvidoria Legislativa;</w:t>
      </w:r>
    </w:p>
    <w:p>
      <w:pPr>
        <w:pStyle w:val="Corpodotexto"/>
        <w:numPr>
          <w:ilvl w:val="0"/>
          <w:numId w:val="4"/>
        </w:numPr>
        <w:tabs>
          <w:tab w:val="clear" w:pos="708"/>
          <w:tab w:val="left" w:pos="0" w:leader="none"/>
        </w:tabs>
        <w:spacing w:lineRule="auto" w:line="240" w:before="0" w:after="0"/>
        <w:ind w:left="709" w:right="0" w:hanging="283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Incentivar audiências públicas e consultas populares;</w:t>
      </w:r>
    </w:p>
    <w:p>
      <w:pPr>
        <w:pStyle w:val="Corpodotexto"/>
        <w:numPr>
          <w:ilvl w:val="0"/>
          <w:numId w:val="4"/>
        </w:numPr>
        <w:tabs>
          <w:tab w:val="clear" w:pos="708"/>
          <w:tab w:val="left" w:pos="0" w:leader="none"/>
        </w:tabs>
        <w:spacing w:lineRule="auto" w:line="240" w:before="0" w:after="0"/>
        <w:ind w:left="709" w:right="0" w:hanging="283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Desenvolver programas de educação legislativa;</w:t>
      </w:r>
    </w:p>
    <w:p>
      <w:pPr>
        <w:pStyle w:val="Corpodotexto"/>
        <w:numPr>
          <w:ilvl w:val="0"/>
          <w:numId w:val="4"/>
        </w:numPr>
        <w:tabs>
          <w:tab w:val="clear" w:pos="708"/>
          <w:tab w:val="left" w:pos="0" w:leader="none"/>
        </w:tabs>
        <w:spacing w:lineRule="auto" w:line="240" w:before="0" w:after="0"/>
        <w:ind w:left="709" w:right="0" w:hanging="283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Promover visitas institucionais e ações voltadas à juventude;</w:t>
      </w:r>
    </w:p>
    <w:p>
      <w:pPr>
        <w:pStyle w:val="Corpodotexto"/>
        <w:numPr>
          <w:ilvl w:val="0"/>
          <w:numId w:val="4"/>
        </w:numPr>
        <w:tabs>
          <w:tab w:val="clear" w:pos="708"/>
          <w:tab w:val="left" w:pos="0" w:leader="none"/>
        </w:tabs>
        <w:spacing w:lineRule="auto" w:line="240" w:before="0" w:after="0"/>
        <w:ind w:left="709" w:right="0" w:hanging="283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Intensificar a divulgação das atividades legislativas.</w:t>
      </w:r>
    </w:p>
    <w:p>
      <w:pPr>
        <w:pStyle w:val="Ttulo3"/>
        <w:numPr>
          <w:ilvl w:val="0"/>
          <w:numId w:val="0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Indicadores</w:t>
      </w:r>
    </w:p>
    <w:p>
      <w:pPr>
        <w:pStyle w:val="Corpodotexto"/>
        <w:numPr>
          <w:ilvl w:val="0"/>
          <w:numId w:val="5"/>
        </w:numPr>
        <w:tabs>
          <w:tab w:val="clear" w:pos="708"/>
          <w:tab w:val="left" w:pos="0" w:leader="none"/>
        </w:tabs>
        <w:spacing w:lineRule="auto" w:line="240" w:before="0" w:after="0"/>
        <w:ind w:left="709" w:right="0" w:hanging="283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Número de audiências públicas realizadas;</w:t>
      </w:r>
    </w:p>
    <w:p>
      <w:pPr>
        <w:pStyle w:val="Corpodotexto"/>
        <w:numPr>
          <w:ilvl w:val="0"/>
          <w:numId w:val="5"/>
        </w:numPr>
        <w:tabs>
          <w:tab w:val="clear" w:pos="708"/>
          <w:tab w:val="left" w:pos="0" w:leader="none"/>
        </w:tabs>
        <w:spacing w:lineRule="auto" w:line="240" w:before="0" w:after="0"/>
        <w:ind w:left="709" w:right="0" w:hanging="283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Participação popular em eventos institucionais;</w:t>
      </w:r>
    </w:p>
    <w:p>
      <w:pPr>
        <w:pStyle w:val="Corpodotexto"/>
        <w:numPr>
          <w:ilvl w:val="0"/>
          <w:numId w:val="5"/>
        </w:numPr>
        <w:tabs>
          <w:tab w:val="clear" w:pos="708"/>
          <w:tab w:val="left" w:pos="0" w:leader="none"/>
        </w:tabs>
        <w:spacing w:lineRule="auto" w:line="240" w:before="0" w:after="0"/>
        <w:ind w:left="709" w:right="0" w:hanging="283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Quantidade de manifestações recebidas pela Ouvidoria;</w:t>
      </w:r>
    </w:p>
    <w:p>
      <w:pPr>
        <w:pStyle w:val="Corpodotexto"/>
        <w:numPr>
          <w:ilvl w:val="0"/>
          <w:numId w:val="5"/>
        </w:numPr>
        <w:tabs>
          <w:tab w:val="clear" w:pos="708"/>
          <w:tab w:val="left" w:pos="0" w:leader="none"/>
        </w:tabs>
        <w:spacing w:lineRule="auto" w:line="240" w:before="0" w:after="0"/>
        <w:ind w:left="709" w:right="0" w:hanging="283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Alcance das mídias institucionais.</w:t>
      </w:r>
    </w:p>
    <w:p>
      <w:pPr>
        <w:pStyle w:val="Ttulo2"/>
        <w:numPr>
          <w:ilvl w:val="1"/>
          <w:numId w:val="1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3.5 - </w:t>
      </w:r>
      <w:r>
        <w:rPr>
          <w:rFonts w:ascii="Times New Roman" w:hAnsi="Times New Roman"/>
          <w:b w:val="false"/>
          <w:bCs w:val="false"/>
          <w:sz w:val="24"/>
          <w:szCs w:val="24"/>
        </w:rPr>
        <w:t>Capacitação e Valorização dos Servidores</w:t>
      </w:r>
    </w:p>
    <w:p>
      <w:pPr>
        <w:pStyle w:val="Ttulo3"/>
        <w:numPr>
          <w:ilvl w:val="2"/>
          <w:numId w:val="1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3.5.1 - </w:t>
      </w:r>
      <w:r>
        <w:rPr>
          <w:rFonts w:ascii="Times New Roman" w:hAnsi="Times New Roman"/>
          <w:b w:val="false"/>
          <w:bCs w:val="false"/>
          <w:sz w:val="24"/>
          <w:szCs w:val="24"/>
        </w:rPr>
        <w:t>Objetivo</w:t>
      </w:r>
    </w:p>
    <w:p>
      <w:pPr>
        <w:pStyle w:val="Corpodotexto"/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Promover a valorização profissional e o desenvolvimento contínuo dos servidores.</w:t>
      </w:r>
    </w:p>
    <w:p>
      <w:pPr>
        <w:pStyle w:val="Ttulo3"/>
        <w:numPr>
          <w:ilvl w:val="2"/>
          <w:numId w:val="1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3.5.2 - </w:t>
      </w:r>
      <w:r>
        <w:rPr>
          <w:rFonts w:ascii="Times New Roman" w:hAnsi="Times New Roman"/>
          <w:b w:val="false"/>
          <w:bCs w:val="false"/>
          <w:sz w:val="24"/>
          <w:szCs w:val="24"/>
        </w:rPr>
        <w:t>Ações Estratégicas</w:t>
      </w:r>
    </w:p>
    <w:p>
      <w:pPr>
        <w:pStyle w:val="Corpodotexto"/>
        <w:numPr>
          <w:ilvl w:val="0"/>
          <w:numId w:val="6"/>
        </w:numPr>
        <w:tabs>
          <w:tab w:val="clear" w:pos="708"/>
          <w:tab w:val="left" w:pos="0" w:leader="none"/>
        </w:tabs>
        <w:spacing w:lineRule="auto" w:line="240" w:before="0" w:after="0"/>
        <w:ind w:left="709" w:right="0" w:hanging="283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Realizar capacitações periódicas;</w:t>
      </w:r>
    </w:p>
    <w:p>
      <w:pPr>
        <w:pStyle w:val="Corpodotexto"/>
        <w:numPr>
          <w:ilvl w:val="0"/>
          <w:numId w:val="6"/>
        </w:numPr>
        <w:tabs>
          <w:tab w:val="clear" w:pos="708"/>
          <w:tab w:val="left" w:pos="0" w:leader="none"/>
        </w:tabs>
        <w:spacing w:lineRule="auto" w:line="240" w:before="0" w:after="0"/>
        <w:ind w:left="709" w:right="0" w:hanging="283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Incentivar cursos e treinamentos técnicos;</w:t>
      </w:r>
    </w:p>
    <w:p>
      <w:pPr>
        <w:pStyle w:val="Corpodotexto"/>
        <w:numPr>
          <w:ilvl w:val="0"/>
          <w:numId w:val="6"/>
        </w:numPr>
        <w:tabs>
          <w:tab w:val="clear" w:pos="708"/>
          <w:tab w:val="left" w:pos="0" w:leader="none"/>
        </w:tabs>
        <w:spacing w:lineRule="auto" w:line="240" w:before="0" w:after="0"/>
        <w:ind w:left="709" w:right="0" w:hanging="283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Desenvolver ações de integração institucional;</w:t>
      </w:r>
    </w:p>
    <w:p>
      <w:pPr>
        <w:pStyle w:val="Corpodotexto"/>
        <w:numPr>
          <w:ilvl w:val="0"/>
          <w:numId w:val="6"/>
        </w:numPr>
        <w:tabs>
          <w:tab w:val="clear" w:pos="708"/>
          <w:tab w:val="left" w:pos="0" w:leader="none"/>
        </w:tabs>
        <w:spacing w:lineRule="auto" w:line="240" w:before="0" w:after="0"/>
        <w:ind w:left="709" w:right="0" w:hanging="283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Promover capacitação em gestão pública, controle interno, licitações e fiscalização;</w:t>
      </w:r>
    </w:p>
    <w:p>
      <w:pPr>
        <w:pStyle w:val="Corpodotexto"/>
        <w:numPr>
          <w:ilvl w:val="0"/>
          <w:numId w:val="6"/>
        </w:numPr>
        <w:tabs>
          <w:tab w:val="clear" w:pos="708"/>
          <w:tab w:val="left" w:pos="0" w:leader="none"/>
        </w:tabs>
        <w:spacing w:lineRule="auto" w:line="240" w:before="0" w:after="0"/>
        <w:ind w:left="709" w:right="0" w:hanging="283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Incentivar a cultura de planejamento e gestão por resultados.</w:t>
      </w:r>
    </w:p>
    <w:p>
      <w:pPr>
        <w:pStyle w:val="Ttulo3"/>
        <w:numPr>
          <w:ilvl w:val="0"/>
          <w:numId w:val="0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Indicadores</w:t>
      </w:r>
    </w:p>
    <w:p>
      <w:pPr>
        <w:pStyle w:val="Corpodotexto"/>
        <w:numPr>
          <w:ilvl w:val="0"/>
          <w:numId w:val="7"/>
        </w:numPr>
        <w:tabs>
          <w:tab w:val="clear" w:pos="708"/>
          <w:tab w:val="left" w:pos="0" w:leader="none"/>
        </w:tabs>
        <w:spacing w:lineRule="auto" w:line="240" w:before="0" w:after="0"/>
        <w:ind w:left="709" w:right="0" w:hanging="283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Número de capacitações realizadas;</w:t>
      </w:r>
    </w:p>
    <w:p>
      <w:pPr>
        <w:pStyle w:val="Corpodotexto"/>
        <w:numPr>
          <w:ilvl w:val="0"/>
          <w:numId w:val="7"/>
        </w:numPr>
        <w:tabs>
          <w:tab w:val="clear" w:pos="708"/>
          <w:tab w:val="left" w:pos="0" w:leader="none"/>
        </w:tabs>
        <w:spacing w:lineRule="auto" w:line="240" w:before="0" w:after="0"/>
        <w:ind w:left="709" w:right="0" w:hanging="283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Percentual de servidores capacitados;</w:t>
      </w:r>
    </w:p>
    <w:p>
      <w:pPr>
        <w:pStyle w:val="Corpodotexto"/>
        <w:numPr>
          <w:ilvl w:val="0"/>
          <w:numId w:val="7"/>
        </w:numPr>
        <w:tabs>
          <w:tab w:val="clear" w:pos="708"/>
          <w:tab w:val="left" w:pos="0" w:leader="none"/>
        </w:tabs>
        <w:spacing w:lineRule="auto" w:line="240" w:before="0" w:after="0"/>
        <w:ind w:left="709" w:right="0" w:hanging="283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Índice de satisfação interna;</w:t>
      </w:r>
    </w:p>
    <w:p>
      <w:pPr>
        <w:pStyle w:val="Corpodotexto"/>
        <w:numPr>
          <w:ilvl w:val="0"/>
          <w:numId w:val="7"/>
        </w:numPr>
        <w:tabs>
          <w:tab w:val="clear" w:pos="708"/>
          <w:tab w:val="left" w:pos="0" w:leader="none"/>
        </w:tabs>
        <w:spacing w:lineRule="auto" w:line="240" w:before="0" w:after="0"/>
        <w:ind w:left="709" w:right="0" w:hanging="283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Participação em eventos institucionais.</w:t>
      </w:r>
    </w:p>
    <w:p>
      <w:pPr>
        <w:pStyle w:val="Ttulo2"/>
        <w:numPr>
          <w:ilvl w:val="1"/>
          <w:numId w:val="1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3.6 - </w:t>
      </w:r>
      <w:r>
        <w:rPr>
          <w:rFonts w:ascii="Times New Roman" w:hAnsi="Times New Roman"/>
          <w:b w:val="false"/>
          <w:bCs w:val="false"/>
          <w:sz w:val="24"/>
          <w:szCs w:val="24"/>
        </w:rPr>
        <w:t>Eficiência Administrativa e Gestão por Resultados</w:t>
      </w:r>
    </w:p>
    <w:p>
      <w:pPr>
        <w:pStyle w:val="Ttulo3"/>
        <w:numPr>
          <w:ilvl w:val="2"/>
          <w:numId w:val="1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3.6.1 - </w:t>
      </w:r>
      <w:r>
        <w:rPr>
          <w:rFonts w:ascii="Times New Roman" w:hAnsi="Times New Roman"/>
          <w:b w:val="false"/>
          <w:bCs w:val="false"/>
          <w:sz w:val="24"/>
          <w:szCs w:val="24"/>
        </w:rPr>
        <w:t>Objetivo</w:t>
      </w:r>
    </w:p>
    <w:p>
      <w:pPr>
        <w:pStyle w:val="Corpodotexto"/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Aprimorar a gestão administrativa e otimizar os processos internos.</w:t>
      </w:r>
    </w:p>
    <w:p>
      <w:pPr>
        <w:pStyle w:val="Ttulo3"/>
        <w:numPr>
          <w:ilvl w:val="2"/>
          <w:numId w:val="1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3.6.2 - </w:t>
      </w:r>
      <w:r>
        <w:rPr>
          <w:rFonts w:ascii="Times New Roman" w:hAnsi="Times New Roman"/>
          <w:b w:val="false"/>
          <w:bCs w:val="false"/>
          <w:sz w:val="24"/>
          <w:szCs w:val="24"/>
        </w:rPr>
        <w:t>Ações Estratégicas</w:t>
      </w:r>
    </w:p>
    <w:p>
      <w:pPr>
        <w:pStyle w:val="Corpodotexto"/>
        <w:numPr>
          <w:ilvl w:val="0"/>
          <w:numId w:val="8"/>
        </w:numPr>
        <w:tabs>
          <w:tab w:val="clear" w:pos="708"/>
          <w:tab w:val="left" w:pos="0" w:leader="none"/>
        </w:tabs>
        <w:spacing w:lineRule="auto" w:line="240" w:before="0" w:after="0"/>
        <w:ind w:left="709" w:right="0" w:hanging="283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Elaborar manuais e fluxos administrativos;</w:t>
      </w:r>
    </w:p>
    <w:p>
      <w:pPr>
        <w:pStyle w:val="Corpodotexto"/>
        <w:numPr>
          <w:ilvl w:val="0"/>
          <w:numId w:val="8"/>
        </w:numPr>
        <w:tabs>
          <w:tab w:val="clear" w:pos="708"/>
          <w:tab w:val="left" w:pos="0" w:leader="none"/>
        </w:tabs>
        <w:spacing w:lineRule="auto" w:line="240" w:before="0" w:after="0"/>
        <w:ind w:left="709" w:right="0" w:hanging="283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Padronizar procedimentos internos;</w:t>
      </w:r>
    </w:p>
    <w:p>
      <w:pPr>
        <w:pStyle w:val="Corpodotexto"/>
        <w:numPr>
          <w:ilvl w:val="0"/>
          <w:numId w:val="8"/>
        </w:numPr>
        <w:tabs>
          <w:tab w:val="clear" w:pos="708"/>
          <w:tab w:val="left" w:pos="0" w:leader="none"/>
        </w:tabs>
        <w:spacing w:lineRule="auto" w:line="240" w:before="0" w:after="0"/>
        <w:ind w:left="709" w:right="0" w:hanging="283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Implementar mecanismos de gestão por indicadores;</w:t>
      </w:r>
    </w:p>
    <w:p>
      <w:pPr>
        <w:pStyle w:val="Corpodotexto"/>
        <w:numPr>
          <w:ilvl w:val="0"/>
          <w:numId w:val="8"/>
        </w:numPr>
        <w:tabs>
          <w:tab w:val="clear" w:pos="708"/>
          <w:tab w:val="left" w:pos="0" w:leader="none"/>
        </w:tabs>
        <w:spacing w:lineRule="auto" w:line="240" w:before="0" w:after="0"/>
        <w:ind w:left="709" w:right="0" w:hanging="283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Aperfeiçoar a gestão patrimonial;</w:t>
      </w:r>
    </w:p>
    <w:p>
      <w:pPr>
        <w:pStyle w:val="Corpodotexto"/>
        <w:numPr>
          <w:ilvl w:val="0"/>
          <w:numId w:val="8"/>
        </w:numPr>
        <w:tabs>
          <w:tab w:val="clear" w:pos="708"/>
          <w:tab w:val="left" w:pos="0" w:leader="none"/>
        </w:tabs>
        <w:spacing w:lineRule="auto" w:line="240" w:before="0" w:after="0"/>
        <w:ind w:left="709" w:right="0" w:hanging="283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Fortalecer o planejamento institucional;</w:t>
      </w:r>
    </w:p>
    <w:p>
      <w:pPr>
        <w:pStyle w:val="Corpodotexto"/>
        <w:numPr>
          <w:ilvl w:val="0"/>
          <w:numId w:val="8"/>
        </w:numPr>
        <w:tabs>
          <w:tab w:val="clear" w:pos="708"/>
          <w:tab w:val="left" w:pos="0" w:leader="none"/>
        </w:tabs>
        <w:spacing w:lineRule="auto" w:line="240" w:before="0" w:after="0"/>
        <w:ind w:left="709" w:right="0" w:hanging="283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Melhorar o acompanhamento de contratos administrativos.</w:t>
      </w:r>
    </w:p>
    <w:p>
      <w:pPr>
        <w:pStyle w:val="Ttulo3"/>
        <w:numPr>
          <w:ilvl w:val="0"/>
          <w:numId w:val="0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Indicadores</w:t>
      </w:r>
    </w:p>
    <w:p>
      <w:pPr>
        <w:pStyle w:val="Corpodotexto"/>
        <w:numPr>
          <w:ilvl w:val="0"/>
          <w:numId w:val="9"/>
        </w:numPr>
        <w:tabs>
          <w:tab w:val="clear" w:pos="708"/>
          <w:tab w:val="left" w:pos="0" w:leader="none"/>
        </w:tabs>
        <w:spacing w:lineRule="auto" w:line="240" w:before="0" w:after="0"/>
        <w:ind w:left="709" w:right="0" w:hanging="283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Redução do tempo de tramitação interna;</w:t>
      </w:r>
    </w:p>
    <w:p>
      <w:pPr>
        <w:pStyle w:val="Corpodotexto"/>
        <w:numPr>
          <w:ilvl w:val="0"/>
          <w:numId w:val="9"/>
        </w:numPr>
        <w:tabs>
          <w:tab w:val="clear" w:pos="708"/>
          <w:tab w:val="left" w:pos="0" w:leader="none"/>
        </w:tabs>
        <w:spacing w:lineRule="auto" w:line="240" w:before="0" w:after="0"/>
        <w:ind w:left="709" w:right="0" w:hanging="283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Número de fluxos padronizados;</w:t>
      </w:r>
    </w:p>
    <w:p>
      <w:pPr>
        <w:pStyle w:val="Corpodotexto"/>
        <w:numPr>
          <w:ilvl w:val="0"/>
          <w:numId w:val="9"/>
        </w:numPr>
        <w:tabs>
          <w:tab w:val="clear" w:pos="708"/>
          <w:tab w:val="left" w:pos="0" w:leader="none"/>
        </w:tabs>
        <w:spacing w:lineRule="auto" w:line="240" w:before="0" w:after="0"/>
        <w:ind w:left="709" w:right="0" w:hanging="283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Grau de cumprimento das metas institucionais;</w:t>
      </w:r>
    </w:p>
    <w:p>
      <w:pPr>
        <w:pStyle w:val="Corpodotexto"/>
        <w:numPr>
          <w:ilvl w:val="0"/>
          <w:numId w:val="9"/>
        </w:numPr>
        <w:tabs>
          <w:tab w:val="clear" w:pos="708"/>
          <w:tab w:val="left" w:pos="0" w:leader="none"/>
        </w:tabs>
        <w:spacing w:lineRule="auto" w:line="240" w:before="0" w:after="0"/>
        <w:ind w:left="709" w:right="0" w:hanging="283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Percentual de processos monitorados.</w:t>
      </w:r>
    </w:p>
    <w:p>
      <w:pPr>
        <w:pStyle w:val="Ttulo2"/>
        <w:numPr>
          <w:ilvl w:val="1"/>
          <w:numId w:val="1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3.7 -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Infraestrutura e Sustentabilidade</w:t>
      </w:r>
    </w:p>
    <w:p>
      <w:pPr>
        <w:pStyle w:val="Ttulo3"/>
        <w:numPr>
          <w:ilvl w:val="2"/>
          <w:numId w:val="1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3.7.1 -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Objetivo</w:t>
      </w:r>
    </w:p>
    <w:p>
      <w:pPr>
        <w:pStyle w:val="Corpodotexto"/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Melhorar a infraestrutura física da Câmara e promover práticas sustentáveis.</w:t>
      </w:r>
    </w:p>
    <w:p>
      <w:pPr>
        <w:pStyle w:val="Ttulo3"/>
        <w:numPr>
          <w:ilvl w:val="2"/>
          <w:numId w:val="1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3.7.2 - </w:t>
      </w:r>
      <w:r>
        <w:rPr>
          <w:rFonts w:ascii="Times New Roman" w:hAnsi="Times New Roman"/>
          <w:b w:val="false"/>
          <w:bCs w:val="false"/>
          <w:sz w:val="24"/>
          <w:szCs w:val="24"/>
        </w:rPr>
        <w:t>Ações Estratégicas</w:t>
      </w:r>
    </w:p>
    <w:p>
      <w:pPr>
        <w:pStyle w:val="Corpodotexto"/>
        <w:numPr>
          <w:ilvl w:val="0"/>
          <w:numId w:val="10"/>
        </w:numPr>
        <w:tabs>
          <w:tab w:val="clear" w:pos="708"/>
          <w:tab w:val="left" w:pos="0" w:leader="none"/>
        </w:tabs>
        <w:spacing w:lineRule="auto" w:line="240" w:before="0" w:after="0"/>
        <w:ind w:left="709" w:right="0" w:hanging="283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Realizar melhorias estruturais nos espaços físicos;</w:t>
      </w:r>
    </w:p>
    <w:p>
      <w:pPr>
        <w:pStyle w:val="Corpodotexto"/>
        <w:numPr>
          <w:ilvl w:val="0"/>
          <w:numId w:val="10"/>
        </w:numPr>
        <w:tabs>
          <w:tab w:val="clear" w:pos="708"/>
          <w:tab w:val="left" w:pos="0" w:leader="none"/>
        </w:tabs>
        <w:spacing w:lineRule="auto" w:line="240" w:before="0" w:after="0"/>
        <w:ind w:left="709" w:right="0" w:hanging="283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Aprimorar a acessibilidade;</w:t>
      </w:r>
    </w:p>
    <w:p>
      <w:pPr>
        <w:pStyle w:val="Corpodotexto"/>
        <w:numPr>
          <w:ilvl w:val="0"/>
          <w:numId w:val="10"/>
        </w:numPr>
        <w:tabs>
          <w:tab w:val="clear" w:pos="708"/>
          <w:tab w:val="left" w:pos="0" w:leader="none"/>
        </w:tabs>
        <w:spacing w:lineRule="auto" w:line="240" w:before="0" w:after="0"/>
        <w:ind w:left="709" w:right="0" w:hanging="283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Modernizar equipamentos e mobiliários;</w:t>
      </w:r>
    </w:p>
    <w:p>
      <w:pPr>
        <w:pStyle w:val="Corpodotexto"/>
        <w:numPr>
          <w:ilvl w:val="0"/>
          <w:numId w:val="10"/>
        </w:numPr>
        <w:tabs>
          <w:tab w:val="clear" w:pos="708"/>
          <w:tab w:val="left" w:pos="0" w:leader="none"/>
        </w:tabs>
        <w:spacing w:lineRule="auto" w:line="240" w:before="0" w:after="0"/>
        <w:ind w:left="709" w:right="0" w:hanging="283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Incentivar práticas de sustentabilidade e economicidade;</w:t>
      </w:r>
    </w:p>
    <w:p>
      <w:pPr>
        <w:pStyle w:val="Corpodotexto"/>
        <w:numPr>
          <w:ilvl w:val="0"/>
          <w:numId w:val="10"/>
        </w:numPr>
        <w:tabs>
          <w:tab w:val="clear" w:pos="708"/>
          <w:tab w:val="left" w:pos="0" w:leader="none"/>
        </w:tabs>
        <w:spacing w:lineRule="auto" w:line="240" w:before="0" w:after="0"/>
        <w:ind w:left="709" w:right="0" w:hanging="283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Reduzir desperdícios e racionalizar recursos.</w:t>
      </w:r>
    </w:p>
    <w:p>
      <w:pPr>
        <w:pStyle w:val="Ttulo3"/>
        <w:numPr>
          <w:ilvl w:val="0"/>
          <w:numId w:val="0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Indicadores</w:t>
      </w:r>
    </w:p>
    <w:p>
      <w:pPr>
        <w:pStyle w:val="Corpodotexto"/>
        <w:numPr>
          <w:ilvl w:val="0"/>
          <w:numId w:val="11"/>
        </w:numPr>
        <w:tabs>
          <w:tab w:val="clear" w:pos="708"/>
          <w:tab w:val="left" w:pos="0" w:leader="none"/>
        </w:tabs>
        <w:spacing w:lineRule="auto" w:line="240" w:before="0" w:after="0"/>
        <w:ind w:left="709" w:right="0" w:hanging="283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Número de melhorias realizadas;</w:t>
      </w:r>
    </w:p>
    <w:p>
      <w:pPr>
        <w:pStyle w:val="Corpodotexto"/>
        <w:numPr>
          <w:ilvl w:val="0"/>
          <w:numId w:val="11"/>
        </w:numPr>
        <w:tabs>
          <w:tab w:val="clear" w:pos="708"/>
          <w:tab w:val="left" w:pos="0" w:leader="none"/>
        </w:tabs>
        <w:spacing w:lineRule="auto" w:line="240" w:before="0" w:after="0"/>
        <w:ind w:left="709" w:right="0" w:hanging="283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Índice de acessibilidade;</w:t>
      </w:r>
    </w:p>
    <w:p>
      <w:pPr>
        <w:pStyle w:val="Corpodotexto"/>
        <w:numPr>
          <w:ilvl w:val="0"/>
          <w:numId w:val="11"/>
        </w:numPr>
        <w:tabs>
          <w:tab w:val="clear" w:pos="708"/>
          <w:tab w:val="left" w:pos="0" w:leader="none"/>
        </w:tabs>
        <w:spacing w:lineRule="auto" w:line="240" w:before="0" w:after="0"/>
        <w:ind w:left="709" w:right="0" w:hanging="283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Redução do consumo de materiais;</w:t>
      </w:r>
    </w:p>
    <w:p>
      <w:pPr>
        <w:pStyle w:val="Corpodotexto"/>
        <w:numPr>
          <w:ilvl w:val="0"/>
          <w:numId w:val="11"/>
        </w:numPr>
        <w:tabs>
          <w:tab w:val="clear" w:pos="708"/>
          <w:tab w:val="left" w:pos="0" w:leader="none"/>
        </w:tabs>
        <w:spacing w:lineRule="auto" w:line="240" w:before="0" w:after="0"/>
        <w:ind w:left="709" w:right="0" w:hanging="283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Avaliação dos ambientes institucionais.</w:t>
      </w:r>
    </w:p>
    <w:p>
      <w:pPr>
        <w:pStyle w:val="Ttulo1"/>
        <w:numPr>
          <w:ilvl w:val="0"/>
          <w:numId w:val="1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Ttulo1"/>
        <w:numPr>
          <w:ilvl w:val="0"/>
          <w:numId w:val="1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4 - EIXOS ESTRATÉGICOS</w:t>
      </w:r>
    </w:p>
    <w:p>
      <w:pPr>
        <w:pStyle w:val="Corpodotexto"/>
        <w:keepNext w:val="false"/>
        <w:keepLines w:val="false"/>
        <w:widowControl/>
        <w:suppressAutoHyphens w:val="false"/>
        <w:overflowPunct w:val="false"/>
        <w:bidi w:val="0"/>
        <w:snapToGrid w:val="true"/>
        <w:spacing w:lineRule="auto" w:line="240" w:before="0" w:after="0"/>
        <w:ind w:left="0" w:right="51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O Plano Estratégico Institucional está estruturado nos seguintes eixos:</w:t>
      </w:r>
    </w:p>
    <w:p>
      <w:pPr>
        <w:pStyle w:val="Corpodotexto"/>
        <w:widowControl/>
        <w:suppressAutoHyphens w:val="false"/>
        <w:overflowPunct w:val="false"/>
        <w:bidi w:val="0"/>
        <w:snapToGrid w:val="true"/>
        <w:spacing w:lineRule="auto" w:line="240" w:before="0" w:after="0"/>
        <w:ind w:left="0" w:right="51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tbl>
      <w:tblPr>
        <w:tblW w:w="5000" w:type="pct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3310"/>
        <w:gridCol w:w="3310"/>
        <w:gridCol w:w="3311"/>
      </w:tblGrid>
      <w:tr>
        <w:trPr/>
        <w:tc>
          <w:tcPr>
            <w:tcW w:w="3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ind w:left="0" w:righ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Eixo</w:t>
            </w:r>
          </w:p>
        </w:tc>
        <w:tc>
          <w:tcPr>
            <w:tcW w:w="3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ind w:left="0" w:righ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3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widowControl w:val="false"/>
              <w:ind w:left="0" w:righ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Reumo</w:t>
            </w:r>
          </w:p>
        </w:tc>
      </w:tr>
      <w:tr>
        <w:trPr/>
        <w:tc>
          <w:tcPr>
            <w:tcW w:w="33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tulo2"/>
              <w:widowControl w:val="false"/>
              <w:numPr>
                <w:ilvl w:val="1"/>
                <w:numId w:val="1"/>
              </w:numPr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Eixo 1</w:t>
            </w:r>
          </w:p>
        </w:tc>
        <w:tc>
          <w:tcPr>
            <w:tcW w:w="33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tulo2"/>
              <w:widowControl w:val="false"/>
              <w:numPr>
                <w:ilvl w:val="1"/>
                <w:numId w:val="1"/>
              </w:numPr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Governança e Gestão Pública</w:t>
            </w:r>
          </w:p>
        </w:tc>
        <w:tc>
          <w:tcPr>
            <w:tcW w:w="33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rpodotexto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Fortalecimento da gestão estratégica, do controle interno, da integridade institucional e da governança pública</w:t>
            </w:r>
          </w:p>
        </w:tc>
      </w:tr>
      <w:tr>
        <w:trPr/>
        <w:tc>
          <w:tcPr>
            <w:tcW w:w="33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tulo2"/>
              <w:widowControl w:val="false"/>
              <w:numPr>
                <w:ilvl w:val="1"/>
                <w:numId w:val="1"/>
              </w:numPr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Eixo 2</w:t>
            </w:r>
          </w:p>
        </w:tc>
        <w:tc>
          <w:tcPr>
            <w:tcW w:w="33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tulo2"/>
              <w:widowControl w:val="false"/>
              <w:numPr>
                <w:ilvl w:val="1"/>
                <w:numId w:val="1"/>
              </w:numPr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Transparência e Participação Popular</w:t>
            </w:r>
          </w:p>
        </w:tc>
        <w:tc>
          <w:tcPr>
            <w:tcW w:w="33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rpodotexto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Ampliação da transparência institucional, da comunicação pública e da participação da sociedade</w:t>
            </w:r>
          </w:p>
        </w:tc>
      </w:tr>
      <w:tr>
        <w:trPr/>
        <w:tc>
          <w:tcPr>
            <w:tcW w:w="33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tulo2"/>
              <w:widowControl w:val="false"/>
              <w:numPr>
                <w:ilvl w:val="1"/>
                <w:numId w:val="1"/>
              </w:numPr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Eixo 3</w:t>
            </w:r>
          </w:p>
        </w:tc>
        <w:tc>
          <w:tcPr>
            <w:tcW w:w="33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tulo2"/>
              <w:widowControl w:val="false"/>
              <w:numPr>
                <w:ilvl w:val="1"/>
                <w:numId w:val="1"/>
              </w:numPr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Fiscalização e Controle</w:t>
            </w:r>
          </w:p>
        </w:tc>
        <w:tc>
          <w:tcPr>
            <w:tcW w:w="33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rpodotexto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Aprimoramento da fiscalização legislativa e fortalecimento do acompanhamento das ações do Executivo</w:t>
            </w:r>
          </w:p>
        </w:tc>
      </w:tr>
      <w:tr>
        <w:trPr/>
        <w:tc>
          <w:tcPr>
            <w:tcW w:w="33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tulo2"/>
              <w:widowControl w:val="false"/>
              <w:numPr>
                <w:ilvl w:val="1"/>
                <w:numId w:val="1"/>
              </w:numPr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Eixo 4</w:t>
            </w:r>
          </w:p>
        </w:tc>
        <w:tc>
          <w:tcPr>
            <w:tcW w:w="33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tulo2"/>
              <w:widowControl w:val="false"/>
              <w:numPr>
                <w:ilvl w:val="1"/>
                <w:numId w:val="1"/>
              </w:numPr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Modernização Administrativa</w:t>
            </w:r>
          </w:p>
        </w:tc>
        <w:tc>
          <w:tcPr>
            <w:tcW w:w="33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rpodotexto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Digitalização de processos, modernização tecnológica e eficiência administrativa</w:t>
            </w:r>
          </w:p>
        </w:tc>
      </w:tr>
      <w:tr>
        <w:trPr/>
        <w:tc>
          <w:tcPr>
            <w:tcW w:w="33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tulo2"/>
              <w:widowControl w:val="false"/>
              <w:numPr>
                <w:ilvl w:val="1"/>
                <w:numId w:val="1"/>
              </w:numPr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Eixo 5</w:t>
            </w:r>
          </w:p>
        </w:tc>
        <w:tc>
          <w:tcPr>
            <w:tcW w:w="33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tulo2"/>
              <w:widowControl w:val="false"/>
              <w:numPr>
                <w:ilvl w:val="1"/>
                <w:numId w:val="1"/>
              </w:numPr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Desenvolvimento Institucional</w:t>
            </w:r>
          </w:p>
        </w:tc>
        <w:tc>
          <w:tcPr>
            <w:tcW w:w="33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rpodotexto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Capacitação de servidores, valorização profissional e melhoria contínua dos processos</w:t>
            </w:r>
          </w:p>
        </w:tc>
      </w:tr>
    </w:tbl>
    <w:p>
      <w:pPr>
        <w:pStyle w:val="Ttulo1"/>
        <w:numPr>
          <w:ilvl w:val="0"/>
          <w:numId w:val="1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Ttulo1"/>
        <w:numPr>
          <w:ilvl w:val="0"/>
          <w:numId w:val="1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5 - PLANO DE AÇÃO INSTITUCIONAL</w:t>
      </w:r>
    </w:p>
    <w:p>
      <w:pPr>
        <w:pStyle w:val="Corpodotexto"/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tbl>
      <w:tblPr>
        <w:tblW w:w="9932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744"/>
        <w:gridCol w:w="3924"/>
        <w:gridCol w:w="2893"/>
        <w:gridCol w:w="1370"/>
      </w:tblGrid>
      <w:tr>
        <w:trPr/>
        <w:tc>
          <w:tcPr>
            <w:tcW w:w="1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tulodetabela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Eixo Estratégico</w:t>
            </w:r>
          </w:p>
        </w:tc>
        <w:tc>
          <w:tcPr>
            <w:tcW w:w="3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tulodetabela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Ação</w:t>
            </w:r>
          </w:p>
        </w:tc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tulodetabela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Responsável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Ttulodetabela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Prazo</w:t>
            </w:r>
          </w:p>
        </w:tc>
      </w:tr>
      <w:tr>
        <w:trPr/>
        <w:tc>
          <w:tcPr>
            <w:tcW w:w="174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dodatabela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Governança</w:t>
            </w:r>
          </w:p>
        </w:tc>
        <w:tc>
          <w:tcPr>
            <w:tcW w:w="392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dodatabela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Elaborar relatórios periódicos de desempenho institucional</w:t>
            </w:r>
          </w:p>
        </w:tc>
        <w:tc>
          <w:tcPr>
            <w:tcW w:w="289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dodatabela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Controladoria Interna</w:t>
            </w:r>
          </w:p>
        </w:tc>
        <w:tc>
          <w:tcPr>
            <w:tcW w:w="13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Permanente</w:t>
            </w:r>
          </w:p>
        </w:tc>
      </w:tr>
      <w:tr>
        <w:trPr/>
        <w:tc>
          <w:tcPr>
            <w:tcW w:w="174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dodatabela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Transparência</w:t>
            </w:r>
          </w:p>
        </w:tc>
        <w:tc>
          <w:tcPr>
            <w:tcW w:w="392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dodatabela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Atualizar Portal da Transparência</w:t>
            </w:r>
          </w:p>
        </w:tc>
        <w:tc>
          <w:tcPr>
            <w:tcW w:w="289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dodatabela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Setor de Comunicação e TI</w:t>
            </w:r>
          </w:p>
        </w:tc>
        <w:tc>
          <w:tcPr>
            <w:tcW w:w="13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Permanente</w:t>
            </w:r>
          </w:p>
        </w:tc>
      </w:tr>
      <w:tr>
        <w:trPr/>
        <w:tc>
          <w:tcPr>
            <w:tcW w:w="174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dodatabela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Modernização</w:t>
            </w:r>
          </w:p>
        </w:tc>
        <w:tc>
          <w:tcPr>
            <w:tcW w:w="392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dodatabela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Expandir o uso de assinaturas eletrônicas</w:t>
            </w:r>
          </w:p>
        </w:tc>
        <w:tc>
          <w:tcPr>
            <w:tcW w:w="289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dodatabela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Administração</w:t>
            </w:r>
          </w:p>
        </w:tc>
        <w:tc>
          <w:tcPr>
            <w:tcW w:w="13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2º Trimestre</w:t>
            </w:r>
          </w:p>
        </w:tc>
      </w:tr>
      <w:tr>
        <w:trPr/>
        <w:tc>
          <w:tcPr>
            <w:tcW w:w="174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dodatabela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Fiscalização</w:t>
            </w:r>
          </w:p>
        </w:tc>
        <w:tc>
          <w:tcPr>
            <w:tcW w:w="392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dodatabela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Intensificar análise de contratos e licitações</w:t>
            </w:r>
          </w:p>
        </w:tc>
        <w:tc>
          <w:tcPr>
            <w:tcW w:w="289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dodatabela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Comissões e Controle Interno</w:t>
            </w:r>
          </w:p>
        </w:tc>
        <w:tc>
          <w:tcPr>
            <w:tcW w:w="13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Permanente</w:t>
            </w:r>
          </w:p>
        </w:tc>
      </w:tr>
      <w:tr>
        <w:trPr/>
        <w:tc>
          <w:tcPr>
            <w:tcW w:w="174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dodatabela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Participação Popular</w:t>
            </w:r>
          </w:p>
        </w:tc>
        <w:tc>
          <w:tcPr>
            <w:tcW w:w="392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dodatabela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Realizar audiências públicas temáticas</w:t>
            </w:r>
          </w:p>
        </w:tc>
        <w:tc>
          <w:tcPr>
            <w:tcW w:w="289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dodatabela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Presidência e Comissões</w:t>
            </w:r>
          </w:p>
        </w:tc>
        <w:tc>
          <w:tcPr>
            <w:tcW w:w="13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Permanente</w:t>
            </w:r>
          </w:p>
        </w:tc>
      </w:tr>
      <w:tr>
        <w:trPr/>
        <w:tc>
          <w:tcPr>
            <w:tcW w:w="174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dodatabela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Capacitação</w:t>
            </w:r>
          </w:p>
        </w:tc>
        <w:tc>
          <w:tcPr>
            <w:tcW w:w="392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dodatabela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Promover cursos e treinamentos</w:t>
            </w:r>
          </w:p>
        </w:tc>
        <w:tc>
          <w:tcPr>
            <w:tcW w:w="289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dodatabela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Administração</w:t>
            </w:r>
          </w:p>
        </w:tc>
        <w:tc>
          <w:tcPr>
            <w:tcW w:w="13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Semestral</w:t>
            </w:r>
          </w:p>
        </w:tc>
      </w:tr>
      <w:tr>
        <w:trPr/>
        <w:tc>
          <w:tcPr>
            <w:tcW w:w="174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dodatabela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Gestão</w:t>
            </w:r>
          </w:p>
        </w:tc>
        <w:tc>
          <w:tcPr>
            <w:tcW w:w="392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dodatabela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Elaborar fluxos e manuais internos</w:t>
            </w:r>
          </w:p>
        </w:tc>
        <w:tc>
          <w:tcPr>
            <w:tcW w:w="289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dodatabela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Administração e Controle Interno</w:t>
            </w:r>
          </w:p>
        </w:tc>
        <w:tc>
          <w:tcPr>
            <w:tcW w:w="13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3º Trimestre</w:t>
            </w:r>
          </w:p>
        </w:tc>
      </w:tr>
      <w:tr>
        <w:trPr/>
        <w:tc>
          <w:tcPr>
            <w:tcW w:w="174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dodatabela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Infraestrutura</w:t>
            </w:r>
          </w:p>
        </w:tc>
        <w:tc>
          <w:tcPr>
            <w:tcW w:w="392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dodatabela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Modernizar equipamentos e mobiliário</w:t>
            </w:r>
          </w:p>
        </w:tc>
        <w:tc>
          <w:tcPr>
            <w:tcW w:w="289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dodatabela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Administração</w:t>
            </w:r>
          </w:p>
        </w:tc>
        <w:tc>
          <w:tcPr>
            <w:tcW w:w="13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4º Trimestre</w:t>
            </w:r>
          </w:p>
        </w:tc>
      </w:tr>
      <w:tr>
        <w:trPr/>
        <w:tc>
          <w:tcPr>
            <w:tcW w:w="174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dodatabela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Sustentabilidade</w:t>
            </w:r>
          </w:p>
        </w:tc>
        <w:tc>
          <w:tcPr>
            <w:tcW w:w="392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dodatabela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Incentivar redução do consumo de papel</w:t>
            </w:r>
          </w:p>
        </w:tc>
        <w:tc>
          <w:tcPr>
            <w:tcW w:w="289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dodatabela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Todos os setores</w:t>
            </w:r>
          </w:p>
        </w:tc>
        <w:tc>
          <w:tcPr>
            <w:tcW w:w="13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Permanente</w:t>
            </w:r>
          </w:p>
        </w:tc>
      </w:tr>
      <w:tr>
        <w:trPr/>
        <w:tc>
          <w:tcPr>
            <w:tcW w:w="174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dodatabela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Comunicação</w:t>
            </w:r>
          </w:p>
        </w:tc>
        <w:tc>
          <w:tcPr>
            <w:tcW w:w="392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dodatabela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Ampliar divulgação institucional nas redes sociais</w:t>
            </w:r>
          </w:p>
        </w:tc>
        <w:tc>
          <w:tcPr>
            <w:tcW w:w="289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dodatabela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Comunicação</w:t>
            </w:r>
          </w:p>
        </w:tc>
        <w:tc>
          <w:tcPr>
            <w:tcW w:w="13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Permanente</w:t>
            </w:r>
          </w:p>
        </w:tc>
      </w:tr>
    </w:tbl>
    <w:p>
      <w:pPr>
        <w:pStyle w:val="Ttulo1"/>
        <w:numPr>
          <w:ilvl w:val="0"/>
          <w:numId w:val="1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Ttulo1"/>
        <w:numPr>
          <w:ilvl w:val="0"/>
          <w:numId w:val="1"/>
        </w:numPr>
        <w:spacing w:lineRule="auto" w:line="240" w:before="0" w:after="0"/>
        <w:ind w:left="0" w:right="0" w:hanging="0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6 - INDICADORES E METAS</w:t>
      </w:r>
    </w:p>
    <w:p>
      <w:pPr>
        <w:pStyle w:val="Corpodotexto"/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tbl>
      <w:tblPr>
        <w:tblW w:w="9932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5100"/>
        <w:gridCol w:w="4831"/>
      </w:tblGrid>
      <w:tr>
        <w:trPr/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dodatabela"/>
              <w:widowControl w:val="false"/>
              <w:ind w:left="0" w:righ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Indicador</w:t>
            </w:r>
          </w:p>
        </w:tc>
        <w:tc>
          <w:tcPr>
            <w:tcW w:w="4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widowControl w:val="false"/>
              <w:ind w:left="0" w:righ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Meta 2026</w:t>
            </w:r>
          </w:p>
        </w:tc>
      </w:tr>
      <w:tr>
        <w:trPr/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dodatabela"/>
              <w:widowControl w:val="false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Processos digitais implantados</w:t>
            </w:r>
          </w:p>
        </w:tc>
        <w:tc>
          <w:tcPr>
            <w:tcW w:w="48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widowControl w:val="false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Implantação mínima de 90% dos processos administrativos e legislativos em formato digital</w:t>
            </w:r>
          </w:p>
        </w:tc>
      </w:tr>
      <w:tr>
        <w:trPr/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dodatabela"/>
              <w:widowControl w:val="false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Capacitação de servidores</w:t>
            </w:r>
          </w:p>
        </w:tc>
        <w:tc>
          <w:tcPr>
            <w:tcW w:w="48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widowControl w:val="false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Capacitação de todos os setores administrativos e técnicos da Câmara</w:t>
            </w:r>
          </w:p>
        </w:tc>
      </w:tr>
      <w:tr>
        <w:trPr/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dodatabela"/>
              <w:widowControl w:val="false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Atualizações do Portal da Transparência</w:t>
            </w:r>
          </w:p>
        </w:tc>
        <w:tc>
          <w:tcPr>
            <w:tcW w:w="48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widowControl w:val="false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Atualização contínua e manutenção integral das informações obrigatórias</w:t>
            </w:r>
          </w:p>
        </w:tc>
      </w:tr>
      <w:tr>
        <w:trPr/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dodatabela"/>
              <w:widowControl w:val="false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Audiências públicas realizadas</w:t>
            </w:r>
          </w:p>
        </w:tc>
        <w:tc>
          <w:tcPr>
            <w:tcW w:w="48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widowControl w:val="false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Aumento mínimo de 20% em relação ao exercício anterior</w:t>
            </w:r>
          </w:p>
        </w:tc>
      </w:tr>
    </w:tbl>
    <w:p>
      <w:pPr>
        <w:pStyle w:val="Normal"/>
        <w:jc w:val="center"/>
        <w:rPr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/>
      </w:r>
    </w:p>
    <w:p>
      <w:pPr>
        <w:pStyle w:val="Normal"/>
        <w:jc w:val="center"/>
        <w:rPr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/>
      </w:r>
    </w:p>
    <w:p>
      <w:pPr>
        <w:pStyle w:val="Normal"/>
        <w:jc w:val="center"/>
        <w:rPr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/>
      </w:r>
    </w:p>
    <w:p>
      <w:pPr>
        <w:pStyle w:val="Normal"/>
        <w:jc w:val="center"/>
        <w:rPr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/>
      </w:r>
    </w:p>
    <w:p>
      <w:pPr>
        <w:pStyle w:val="Normal"/>
        <w:jc w:val="center"/>
        <w:rPr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/>
      </w:r>
    </w:p>
    <w:p>
      <w:pPr>
        <w:pStyle w:val="Normal"/>
        <w:jc w:val="center"/>
        <w:rPr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/>
      </w:r>
    </w:p>
    <w:p>
      <w:pPr>
        <w:pStyle w:val="Normal"/>
        <w:jc w:val="center"/>
        <w:rPr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/>
      </w:r>
    </w:p>
    <w:p>
      <w:pPr>
        <w:pStyle w:val="Normal"/>
        <w:jc w:val="center"/>
        <w:rPr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/>
      </w:r>
    </w:p>
    <w:p>
      <w:pPr>
        <w:pStyle w:val="Normal"/>
        <w:jc w:val="center"/>
        <w:rPr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/>
      </w:r>
    </w:p>
    <w:p>
      <w:pPr>
        <w:pStyle w:val="Normal"/>
        <w:spacing w:lineRule="auto" w:line="240"/>
        <w:ind w:left="0" w:right="0" w:hanging="0"/>
        <w:jc w:val="center"/>
        <w:rPr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0" w:right="0" w:hanging="0"/>
        <w:jc w:val="center"/>
        <w:rPr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0" w:right="0" w:hanging="0"/>
        <w:jc w:val="center"/>
        <w:rPr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0" w:right="0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 w:val="false"/>
          <w:iCs w:val="false"/>
          <w:sz w:val="24"/>
          <w:szCs w:val="24"/>
        </w:rPr>
        <w:t xml:space="preserve">Montes Claros/MG, 06 de </w:t>
      </w:r>
      <w:r>
        <w:rPr>
          <w:rFonts w:ascii="Times New Roman" w:hAnsi="Times New Roman"/>
          <w:i w:val="false"/>
          <w:iCs w:val="false"/>
          <w:sz w:val="24"/>
          <w:szCs w:val="24"/>
          <w:lang w:val="pt-BR"/>
        </w:rPr>
        <w:t>maio</w:t>
      </w:r>
      <w:r>
        <w:rPr>
          <w:rFonts w:ascii="Times New Roman" w:hAnsi="Times New Roman"/>
          <w:i w:val="false"/>
          <w:iCs w:val="false"/>
          <w:sz w:val="24"/>
          <w:szCs w:val="24"/>
        </w:rPr>
        <w:t xml:space="preserve"> de 2026.</w:t>
      </w:r>
    </w:p>
    <w:p>
      <w:pPr>
        <w:pStyle w:val="Normal"/>
        <w:spacing w:lineRule="auto" w:line="240"/>
        <w:ind w:left="0" w:right="0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0" w:right="0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0" w:right="0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0" w:right="0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rpodotexto"/>
        <w:spacing w:lineRule="auto" w:line="240" w:before="0" w:after="0"/>
        <w:ind w:left="0" w:right="0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Martins Lima Filho</w:t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Presidente da Câmara Municipal de Montes Claros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br/>
      </w:r>
    </w:p>
    <w:p>
      <w:pPr>
        <w:pStyle w:val="Corpodotexto"/>
        <w:spacing w:lineRule="auto" w:line="240" w:before="0" w:after="0"/>
        <w:ind w:left="0" w:right="0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rpodotexto"/>
        <w:spacing w:lineRule="auto" w:line="240" w:before="0" w:after="0"/>
        <w:ind w:left="0" w:right="0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rpodotexto"/>
        <w:spacing w:lineRule="auto" w:line="240" w:before="0" w:after="0"/>
        <w:ind w:left="0" w:right="0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0" w:right="0" w:hanging="0"/>
        <w:jc w:val="center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</w:rPr>
        <w:t>Brender Mendes Moreira</w:t>
      </w:r>
    </w:p>
    <w:p>
      <w:pPr>
        <w:pStyle w:val="Normal"/>
        <w:spacing w:lineRule="auto" w:line="240"/>
        <w:ind w:left="0" w:right="0" w:hanging="0"/>
        <w:jc w:val="center"/>
        <w:rPr>
          <w:rFonts w:ascii="Times New Roman" w:hAnsi="Times New Roman"/>
          <w:b/>
          <w:b/>
          <w:bCs/>
          <w:i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Controlador Interno</w:t>
      </w:r>
    </w:p>
    <w:sectPr>
      <w:headerReference w:type="default" r:id="rId2"/>
      <w:type w:val="nextPage"/>
      <w:pgSz w:w="11906" w:h="16838"/>
      <w:pgMar w:left="983" w:right="982" w:gutter="0" w:header="710" w:top="1408" w:footer="0" w:bottom="603"/>
      <w:pgBorders w:display="allPages" w:offsetFrom="text">
        <w:top w:val="single" w:sz="4" w:space="11" w:color="000000" w:shadow="1"/>
        <w:left w:val="single" w:sz="4" w:space="25" w:color="000000" w:shadow="1"/>
        <w:bottom w:val="single" w:sz="4" w:space="6" w:color="000000" w:shadow="1"/>
        <w:right w:val="single" w:sz="4" w:space="25" w:color="000000" w:shadow="1"/>
      </w:pgBorders>
      <w:pgNumType w:fmt="decimal"/>
      <w:formProt w:val="false"/>
      <w:textDirection w:val="lrTb"/>
      <w:docGrid w:type="default" w:linePitch="312" w:charSpace="163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 Rounded MT Bold">
    <w:charset w:val="00"/>
    <w:family w:val="swiss"/>
    <w:pitch w:val="variable"/>
  </w:font>
  <w:font w:name="Arial Rounded MT Bold">
    <w:charset w:val="00"/>
    <w:family w:val="roman"/>
    <w:pitch w:val="variable"/>
  </w:font>
  <w:font w:name="Tahoma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jc w:val="center"/>
      <w:rPr>
        <w:rFonts w:ascii="Arial Rounded MT Bold" w:hAnsi="Arial Rounded MT Bold" w:cs="Arial Rounded MT Bold"/>
        <w:spacing w:val="20"/>
        <w:sz w:val="44"/>
        <w:szCs w:val="46"/>
      </w:rPr>
    </w:pPr>
    <w:r>
      <w:rPr>
        <w:rFonts w:cs="Arial Rounded MT Bold" w:ascii="Arial Rounded MT Bold" w:hAnsi="Arial Rounded MT Bold"/>
        <w:spacing w:val="20"/>
        <w:sz w:val="44"/>
        <w:szCs w:val="46"/>
      </w:rPr>
      <w:drawing>
        <wp:anchor behindDoc="1" distT="0" distB="0" distL="0" distR="0" simplePos="0" locked="0" layoutInCell="0" allowOverlap="1" relativeHeight="9">
          <wp:simplePos x="0" y="0"/>
          <wp:positionH relativeFrom="column">
            <wp:align>center</wp:align>
          </wp:positionH>
          <wp:positionV relativeFrom="paragraph">
            <wp:posOffset>5080</wp:posOffset>
          </wp:positionV>
          <wp:extent cx="903605" cy="846455"/>
          <wp:effectExtent l="0" t="0" r="0" b="0"/>
          <wp:wrapSquare wrapText="bothSides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102" t="-1169" r="-1102" b="-1169"/>
                  <a:stretch>
                    <a:fillRect/>
                  </a:stretch>
                </pic:blipFill>
                <pic:spPr bwMode="auto">
                  <a:xfrm>
                    <a:off x="0" y="0"/>
                    <a:ext cx="903605" cy="846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Cabealho"/>
      <w:pBdr>
        <w:bottom w:val="thickThinLargeGap" w:sz="2" w:space="1" w:color="C0C0C0"/>
      </w:pBdr>
      <w:jc w:val="center"/>
      <w:rPr>
        <w:rFonts w:ascii="Arial Rounded MT Bold" w:hAnsi="Arial Rounded MT Bold" w:cs="Arial Rounded MT Bold"/>
        <w:spacing w:val="20"/>
        <w:sz w:val="44"/>
        <w:szCs w:val="46"/>
      </w:rPr>
    </w:pPr>
    <w:r>
      <w:rPr>
        <w:rFonts w:cs="Arial Rounded MT Bold" w:ascii="Arial Rounded MT Bold" w:hAnsi="Arial Rounded MT Bold"/>
        <w:spacing w:val="20"/>
        <w:sz w:val="44"/>
        <w:szCs w:val="46"/>
      </w:rPr>
    </w:r>
  </w:p>
  <w:p>
    <w:pPr>
      <w:pStyle w:val="Cabealho"/>
      <w:pBdr>
        <w:bottom w:val="thickThinLargeGap" w:sz="2" w:space="1" w:color="C0C0C0"/>
      </w:pBdr>
      <w:jc w:val="center"/>
      <w:rPr>
        <w:rFonts w:ascii="Arial Rounded MT Bold" w:hAnsi="Arial Rounded MT Bold" w:cs="Arial Rounded MT Bold"/>
        <w:spacing w:val="20"/>
        <w:sz w:val="44"/>
        <w:szCs w:val="46"/>
      </w:rPr>
    </w:pPr>
    <w:r>
      <w:rPr>
        <w:rFonts w:cs="Arial Rounded MT Bold" w:ascii="Arial Rounded MT Bold" w:hAnsi="Arial Rounded MT Bold"/>
        <w:spacing w:val="20"/>
        <w:sz w:val="44"/>
        <w:szCs w:val="46"/>
      </w:rPr>
    </w:r>
  </w:p>
  <w:p>
    <w:pPr>
      <w:pStyle w:val="Cabealho"/>
      <w:pBdr>
        <w:bottom w:val="thickThinLargeGap" w:sz="2" w:space="1" w:color="C0C0C0"/>
      </w:pBdr>
      <w:jc w:val="center"/>
      <w:rPr>
        <w:rFonts w:ascii="Arial Rounded MT Bold" w:hAnsi="Arial Rounded MT Bold" w:cs="Arial Rounded MT Bold"/>
        <w:spacing w:val="20"/>
        <w:sz w:val="44"/>
        <w:szCs w:val="46"/>
      </w:rPr>
    </w:pPr>
    <w:r>
      <w:rPr>
        <w:rFonts w:cs="Arial Rounded MT Bold" w:ascii="Arial Rounded MT Bold" w:hAnsi="Arial Rounded MT Bold"/>
        <w:spacing w:val="20"/>
        <w:sz w:val="44"/>
        <w:szCs w:val="46"/>
      </w:rPr>
      <w:t>Câmara Municipal de Montes Claros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584" w:hanging="1584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suppressAutoHyphens w:val="false"/>
      <w:overflowPunct w:val="false"/>
      <w:bidi w:val="0"/>
      <w:snapToGrid w:val="true"/>
      <w:spacing w:lineRule="auto" w:line="240" w:before="0" w:after="0"/>
      <w:jc w:val="left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pt-BR" w:eastAsia="pt-BR" w:bidi="ar-SA"/>
    </w:rPr>
  </w:style>
  <w:style w:type="paragraph" w:styleId="Ttulo1">
    <w:name w:val="Heading 1"/>
    <w:basedOn w:val="Ttulo"/>
    <w:next w:val="Corpodotexto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Ttulo2">
    <w:name w:val="Heading 2"/>
    <w:basedOn w:val="Ttulo"/>
    <w:next w:val="Corpodotexto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Ttulo3">
    <w:name w:val="Heading 3"/>
    <w:basedOn w:val="Normal1"/>
    <w:next w:val="Normal1"/>
    <w:qFormat/>
    <w:pPr>
      <w:keepNext w:val="true"/>
      <w:numPr>
        <w:ilvl w:val="2"/>
        <w:numId w:val="1"/>
      </w:numPr>
      <w:suppressAutoHyphens w:val="true"/>
      <w:spacing w:before="20" w:after="20"/>
      <w:ind w:left="0" w:right="0" w:firstLine="709"/>
      <w:jc w:val="center"/>
      <w:outlineLvl w:val="2"/>
    </w:pPr>
    <w:rPr>
      <w:rFonts w:ascii="Arial Rounded MT Bold" w:hAnsi="Arial Rounded MT Bold" w:cs="Arial Rounded MT Bold"/>
      <w:b/>
      <w:sz w:val="28"/>
    </w:rPr>
  </w:style>
  <w:style w:type="paragraph" w:styleId="Ttulo4">
    <w:name w:val="Heading 4"/>
    <w:basedOn w:val="Normal1"/>
    <w:next w:val="Normal1"/>
    <w:qFormat/>
    <w:pPr>
      <w:keepNext w:val="true"/>
      <w:numPr>
        <w:ilvl w:val="3"/>
        <w:numId w:val="1"/>
      </w:numPr>
      <w:suppressAutoHyphens w:val="true"/>
      <w:spacing w:before="240" w:after="60"/>
      <w:outlineLvl w:val="3"/>
    </w:pPr>
    <w:rPr>
      <w:b/>
      <w:bCs/>
      <w:sz w:val="28"/>
      <w:szCs w:val="28"/>
    </w:rPr>
  </w:style>
  <w:style w:type="character" w:styleId="Fontepargpadro">
    <w:name w:val="Fonte parág. padrão"/>
    <w:qFormat/>
    <w:rPr/>
  </w:style>
  <w:style w:type="character" w:styleId="Ttulo3Char">
    <w:name w:val="Título 3 Char"/>
    <w:basedOn w:val="Fontepargpadro"/>
    <w:qFormat/>
    <w:rPr>
      <w:rFonts w:ascii="Arial Rounded MT Bold" w:hAnsi="Arial Rounded MT Bold" w:cs="Times New Roman"/>
      <w:b/>
      <w:sz w:val="28"/>
    </w:rPr>
  </w:style>
  <w:style w:type="character" w:styleId="Ttulo4Char">
    <w:name w:val="Título 4 Char"/>
    <w:basedOn w:val="Fontepargpadro"/>
    <w:qFormat/>
    <w:rPr>
      <w:rFonts w:cs="Times New Roman"/>
      <w:b/>
      <w:bCs/>
      <w:sz w:val="28"/>
      <w:szCs w:val="28"/>
    </w:rPr>
  </w:style>
  <w:style w:type="character" w:styleId="CabealhoChar">
    <w:name w:val="Cabeçalho Char"/>
    <w:basedOn w:val="Fontepargpadro"/>
    <w:qFormat/>
    <w:rPr>
      <w:rFonts w:cs="Times New Roman"/>
    </w:rPr>
  </w:style>
  <w:style w:type="character" w:styleId="RodapChar">
    <w:name w:val="Rodapé Char"/>
    <w:basedOn w:val="Fontepargpadro"/>
    <w:qFormat/>
    <w:rPr>
      <w:rFonts w:cs="Times New Roman"/>
    </w:rPr>
  </w:style>
  <w:style w:type="character" w:styleId="Nmerodepgina">
    <w:name w:val="Page Number"/>
    <w:basedOn w:val="Fontepargpadro"/>
    <w:rPr>
      <w:rFonts w:cs="Times New Roman"/>
    </w:rPr>
  </w:style>
  <w:style w:type="character" w:styleId="TextodebaloChar">
    <w:name w:val="Texto de balão Char"/>
    <w:basedOn w:val="Fontepargpadro"/>
    <w:qFormat/>
    <w:rPr>
      <w:rFonts w:ascii="Tahoma" w:hAnsi="Tahoma" w:cs="Tahoma"/>
      <w:sz w:val="16"/>
      <w:szCs w:val="16"/>
    </w:rPr>
  </w:style>
  <w:style w:type="character" w:styleId="WWCharLFO1LVL1">
    <w:name w:val="WW_CharLFO1LVL1"/>
    <w:qFormat/>
    <w:rPr>
      <w:rFonts w:cs="Times New Roman"/>
    </w:rPr>
  </w:style>
  <w:style w:type="character" w:styleId="WWCharLFO1LVL2">
    <w:name w:val="WW_CharLFO1LVL2"/>
    <w:qFormat/>
    <w:rPr>
      <w:rFonts w:cs="Times New Roman"/>
    </w:rPr>
  </w:style>
  <w:style w:type="character" w:styleId="WWCharLFO1LVL3">
    <w:name w:val="WW_CharLFO1LVL3"/>
    <w:qFormat/>
    <w:rPr>
      <w:rFonts w:cs="Times New Roman"/>
    </w:rPr>
  </w:style>
  <w:style w:type="character" w:styleId="WWCharLFO1LVL4">
    <w:name w:val="WW_CharLFO1LVL4"/>
    <w:qFormat/>
    <w:rPr>
      <w:rFonts w:cs="Times New Roman"/>
    </w:rPr>
  </w:style>
  <w:style w:type="character" w:styleId="WWCharLFO1LVL5">
    <w:name w:val="WW_CharLFO1LVL5"/>
    <w:qFormat/>
    <w:rPr>
      <w:rFonts w:cs="Times New Roman"/>
    </w:rPr>
  </w:style>
  <w:style w:type="character" w:styleId="WWCharLFO1LVL6">
    <w:name w:val="WW_CharLFO1LVL6"/>
    <w:qFormat/>
    <w:rPr>
      <w:rFonts w:cs="Times New Roman"/>
    </w:rPr>
  </w:style>
  <w:style w:type="character" w:styleId="WWCharLFO1LVL7">
    <w:name w:val="WW_CharLFO1LVL7"/>
    <w:qFormat/>
    <w:rPr>
      <w:rFonts w:cs="Times New Roman"/>
    </w:rPr>
  </w:style>
  <w:style w:type="character" w:styleId="WWCharLFO1LVL8">
    <w:name w:val="WW_CharLFO1LVL8"/>
    <w:qFormat/>
    <w:rPr>
      <w:rFonts w:cs="Times New Roman"/>
    </w:rPr>
  </w:style>
  <w:style w:type="character" w:styleId="WWCharLFO1LVL9">
    <w:name w:val="WW_CharLFO1LVL9"/>
    <w:qFormat/>
    <w:rPr>
      <w:rFonts w:cs="Times New Roman"/>
    </w:rPr>
  </w:style>
  <w:style w:type="character" w:styleId="WWCharLFO2LVL1">
    <w:name w:val="WW_CharLFO2LVL1"/>
    <w:qFormat/>
    <w:rPr>
      <w:rFonts w:cs="Times New Roman"/>
    </w:rPr>
  </w:style>
  <w:style w:type="character" w:styleId="WWCharLFO2LVL2">
    <w:name w:val="WW_CharLFO2LVL2"/>
    <w:qFormat/>
    <w:rPr>
      <w:rFonts w:cs="Times New Roman"/>
    </w:rPr>
  </w:style>
  <w:style w:type="character" w:styleId="WWCharLFO2LVL3">
    <w:name w:val="WW_CharLFO2LVL3"/>
    <w:qFormat/>
    <w:rPr>
      <w:rFonts w:cs="Times New Roman"/>
    </w:rPr>
  </w:style>
  <w:style w:type="character" w:styleId="WWCharLFO2LVL4">
    <w:name w:val="WW_CharLFO2LVL4"/>
    <w:qFormat/>
    <w:rPr>
      <w:rFonts w:cs="Times New Roman"/>
    </w:rPr>
  </w:style>
  <w:style w:type="character" w:styleId="WWCharLFO2LVL5">
    <w:name w:val="WW_CharLFO2LVL5"/>
    <w:qFormat/>
    <w:rPr>
      <w:rFonts w:cs="Times New Roman"/>
    </w:rPr>
  </w:style>
  <w:style w:type="character" w:styleId="WWCharLFO2LVL6">
    <w:name w:val="WW_CharLFO2LVL6"/>
    <w:qFormat/>
    <w:rPr>
      <w:rFonts w:cs="Times New Roman"/>
    </w:rPr>
  </w:style>
  <w:style w:type="character" w:styleId="WWCharLFO2LVL7">
    <w:name w:val="WW_CharLFO2LVL7"/>
    <w:qFormat/>
    <w:rPr>
      <w:rFonts w:cs="Times New Roman"/>
    </w:rPr>
  </w:style>
  <w:style w:type="character" w:styleId="WWCharLFO2LVL8">
    <w:name w:val="WW_CharLFO2LVL8"/>
    <w:qFormat/>
    <w:rPr>
      <w:rFonts w:cs="Times New Roman"/>
    </w:rPr>
  </w:style>
  <w:style w:type="character" w:styleId="WWCharLFO2LVL9">
    <w:name w:val="WW_CharLFO2LVL9"/>
    <w:qFormat/>
    <w:rPr>
      <w:rFonts w:cs="Times New Roman"/>
    </w:rPr>
  </w:style>
  <w:style w:type="character" w:styleId="Fontepargpadro1">
    <w:name w:val="Fonte parág. padrão1"/>
    <w:qFormat/>
    <w:rPr/>
  </w:style>
  <w:style w:type="character" w:styleId="Strong">
    <w:name w:val="Strong"/>
    <w:qFormat/>
    <w:rPr>
      <w:b/>
      <w:bCs/>
    </w:rPr>
  </w:style>
  <w:style w:type="character" w:styleId="LinkdaInternet">
    <w:name w:val="Hyperlink"/>
    <w:rPr>
      <w:color w:val="000080"/>
      <w:u w:val="single"/>
    </w:rPr>
  </w:style>
  <w:style w:type="character" w:styleId="Linkdainternetvisitado">
    <w:name w:val="FollowedHyperlink"/>
    <w:rPr>
      <w:color w:val="800000"/>
      <w:u w:val="single"/>
    </w:rPr>
  </w:style>
  <w:style w:type="character" w:styleId="Smbolosdenumerao">
    <w:name w:val="Símbolos de numeração"/>
    <w:qFormat/>
    <w:rPr/>
  </w:style>
  <w:style w:type="character" w:styleId="Marcadores">
    <w:name w:val="Marcadores"/>
    <w:qFormat/>
    <w:rPr>
      <w:rFonts w:ascii="OpenSymbol" w:hAnsi="OpenSymbol" w:eastAsia="OpenSymbol" w:cs="OpenSymbol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;Arial" w:hAnsi="Liberation Sans;Arial" w:eastAsia="MS Mincho" w:cs="Tahoma"/>
      <w:sz w:val="28"/>
      <w:szCs w:val="28"/>
    </w:rPr>
  </w:style>
  <w:style w:type="paragraph" w:styleId="Corpodo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Normal1">
    <w:name w:val="Normal1"/>
    <w:qFormat/>
    <w:pPr>
      <w:keepNext w:val="false"/>
      <w:keepLines w:val="false"/>
      <w:pageBreakBefore w:val="false"/>
      <w:widowControl/>
      <w:suppressAutoHyphens w:val="true"/>
      <w:overflowPunct w:val="false"/>
      <w:bidi w:val="0"/>
      <w:snapToGrid w:val="true"/>
      <w:spacing w:lineRule="auto" w:line="240" w:before="0" w:after="0"/>
      <w:jc w:val="left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pt-BR" w:eastAsia="pt-BR" w:bidi="ar-S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bealhoeRodap">
    <w:name w:val="Cabeçalho e Rodapé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Cabealhoerodap1">
    <w:name w:val="Cabeçalho e rodapé1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Cabealhoerodap2">
    <w:name w:val="Cabeçalho e rodapé2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Cabealhoerodap3">
    <w:name w:val="Cabeçalho e rodapé3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Cabealhoerodap4">
    <w:name w:val="Cabeçalho e rodapé4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Cabealhoerodap5">
    <w:name w:val="Cabeçalho e rodapé5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Cabealhoerodap6">
    <w:name w:val="Cabeçalho e rodapé6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Cabealhoerodap7">
    <w:name w:val="Cabeçalho e rodapé7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Cabealhoerodap8">
    <w:name w:val="Cabeçalho e rodapé8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Cabealho">
    <w:name w:val="Header"/>
    <w:basedOn w:val="Normal1"/>
    <w:pPr>
      <w:tabs>
        <w:tab w:val="clear" w:pos="708"/>
        <w:tab w:val="center" w:pos="4419" w:leader="none"/>
        <w:tab w:val="right" w:pos="8838" w:leader="none"/>
      </w:tabs>
      <w:suppressAutoHyphens w:val="true"/>
    </w:pPr>
    <w:rPr/>
  </w:style>
  <w:style w:type="paragraph" w:styleId="Rodap">
    <w:name w:val="Footer"/>
    <w:basedOn w:val="Normal1"/>
    <w:pPr>
      <w:tabs>
        <w:tab w:val="clear" w:pos="708"/>
        <w:tab w:val="center" w:pos="4419" w:leader="none"/>
        <w:tab w:val="right" w:pos="8838" w:leader="none"/>
      </w:tabs>
      <w:suppressAutoHyphens w:val="true"/>
    </w:pPr>
    <w:rPr/>
  </w:style>
  <w:style w:type="paragraph" w:styleId="Textodebalo">
    <w:name w:val="Texto de balão"/>
    <w:basedOn w:val="Normal1"/>
    <w:qFormat/>
    <w:pPr>
      <w:suppressAutoHyphens w:val="true"/>
    </w:pPr>
    <w:rPr>
      <w:rFonts w:ascii="Tahoma" w:hAnsi="Tahoma" w:cs="Tahoma"/>
      <w:sz w:val="16"/>
      <w:szCs w:val="16"/>
    </w:rPr>
  </w:style>
  <w:style w:type="paragraph" w:styleId="Contedodatabela">
    <w:name w:val="Conteúdo da tabela"/>
    <w:basedOn w:val="Normal"/>
    <w:qFormat/>
    <w:pPr>
      <w:suppressLineNumbers/>
    </w:pPr>
    <w:rPr/>
  </w:style>
  <w:style w:type="paragraph" w:styleId="Blocodecitao">
    <w:name w:val="Bloco de citação"/>
    <w:basedOn w:val="Normal"/>
    <w:qFormat/>
    <w:pPr>
      <w:spacing w:before="0" w:after="283"/>
      <w:ind w:left="567" w:right="567" w:hanging="0"/>
    </w:pPr>
    <w:rPr/>
  </w:style>
  <w:style w:type="paragraph" w:styleId="Ttulododocumento">
    <w:name w:val="Title"/>
    <w:basedOn w:val="Ttulo"/>
    <w:next w:val="Corpodotexto"/>
    <w:qFormat/>
    <w:pPr>
      <w:jc w:val="center"/>
    </w:pPr>
    <w:rPr>
      <w:b/>
      <w:bCs/>
      <w:sz w:val="56"/>
      <w:szCs w:val="56"/>
    </w:rPr>
  </w:style>
  <w:style w:type="paragraph" w:styleId="Subttulo">
    <w:name w:val="Subtitle"/>
    <w:basedOn w:val="Ttulo"/>
    <w:next w:val="Corpodotexto"/>
    <w:qFormat/>
    <w:pPr>
      <w:spacing w:before="60" w:after="120"/>
      <w:jc w:val="center"/>
    </w:pPr>
    <w:rPr>
      <w:sz w:val="36"/>
      <w:szCs w:val="36"/>
    </w:rPr>
  </w:style>
  <w:style w:type="paragraph" w:styleId="LONormal">
    <w:name w:val="LO-Normal"/>
    <w:qFormat/>
    <w:pPr>
      <w:keepNext w:val="false"/>
      <w:keepLines w:val="false"/>
      <w:pageBreakBefore w:val="false"/>
      <w:widowControl/>
      <w:suppressAutoHyphens w:val="true"/>
      <w:overflowPunct w:val="false"/>
      <w:bidi w:val="0"/>
      <w:snapToGrid w:val="true"/>
      <w:spacing w:lineRule="auto" w:line="240" w:before="0" w:after="0"/>
      <w:jc w:val="left"/>
    </w:pPr>
    <w:rPr>
      <w:rFonts w:ascii="Liberation Serif;Times New Roman" w:hAnsi="Liberation Serif;Times New Roman" w:eastAsia="0" w:cs="0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pt-BR" w:eastAsia="zh-CN" w:bidi="hi-IN"/>
    </w:rPr>
  </w:style>
  <w:style w:type="paragraph" w:styleId="LONormal1">
    <w:name w:val="LO-Normal1"/>
    <w:qFormat/>
    <w:pPr>
      <w:keepNext w:val="false"/>
      <w:keepLines w:val="false"/>
      <w:pageBreakBefore w:val="false"/>
      <w:widowControl/>
      <w:suppressAutoHyphens w:val="true"/>
      <w:overflowPunct w:val="false"/>
      <w:bidi w:val="0"/>
      <w:snapToGrid w:val="true"/>
      <w:spacing w:lineRule="auto" w:line="240" w:before="0" w:after="0"/>
      <w:jc w:val="left"/>
    </w:pPr>
    <w:rPr>
      <w:rFonts w:ascii="Liberation Serif;Times New Roman" w:hAnsi="Liberation Serif;Times New Roman" w:eastAsia="0" w:cs="0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pt-BR" w:eastAsia="zh-CN" w:bidi="hi-IN"/>
    </w:rPr>
  </w:style>
  <w:style w:type="paragraph" w:styleId="LONormal3">
    <w:name w:val="LO-Normal3"/>
    <w:qFormat/>
    <w:pPr>
      <w:keepNext w:val="false"/>
      <w:keepLines w:val="false"/>
      <w:pageBreakBefore w:val="false"/>
      <w:widowControl/>
      <w:suppressAutoHyphens w:val="true"/>
      <w:overflowPunct w:val="false"/>
      <w:bidi w:val="0"/>
      <w:snapToGrid w:val="true"/>
      <w:spacing w:lineRule="auto" w:line="240" w:before="0" w:after="0"/>
      <w:jc w:val="left"/>
    </w:pPr>
    <w:rPr>
      <w:rFonts w:ascii="Liberation Serif;Times New Roman" w:hAnsi="Liberation Serif;Times New Roman" w:eastAsia="0" w:cs="0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pt-BR" w:eastAsia="zh-CN" w:bidi="hi-IN"/>
    </w:rPr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styleId="Linhahorizontal">
    <w:name w:val="Linha horizontal"/>
    <w:basedOn w:val="Normal"/>
    <w:next w:val="Corpodotexto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1881</TotalTime>
  <Application>LibreOffice/7.4.4.2$Windows_X86_64 LibreOffice_project/85569322deea74ec9134968a29af2df5663baa21</Application>
  <AppVersion>15.0000</AppVersion>
  <Pages>8</Pages>
  <Words>1492</Words>
  <Characters>9729</Characters>
  <CharactersWithSpaces>10965</CharactersWithSpaces>
  <Paragraphs>243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</dc:creator>
  <dc:description/>
  <dc:language>pt-BR</dc:language>
  <cp:lastModifiedBy/>
  <cp:lastPrinted>2025-11-03T17:14:00Z</cp:lastPrinted>
  <dcterms:modified xsi:type="dcterms:W3CDTF">2026-05-12T15:39:56Z</dcterms:modified>
  <cp:revision>292</cp:revision>
  <dc:subject/>
  <dc:title>PORTARIA Nº 04/2009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